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4"/>
        </w:tabs>
        <w:spacing w:line="340" w:lineRule="exact"/>
        <w:rPr>
          <w:rFonts w:hint="eastAsia" w:ascii="华文中宋" w:hAnsi="华文中宋" w:eastAsia="华文中宋" w:cs="Times New Roman"/>
          <w:color w:val="FF0000"/>
          <w:sz w:val="15"/>
          <w:szCs w:val="15"/>
        </w:rPr>
      </w:pPr>
    </w:p>
    <w:p>
      <w:pPr>
        <w:spacing w:line="340" w:lineRule="exact"/>
        <w:rPr>
          <w:rFonts w:ascii="华文中宋" w:hAnsi="华文中宋" w:eastAsia="华文中宋" w:cs="Times New Roman"/>
          <w:color w:val="FF0000"/>
          <w:sz w:val="15"/>
          <w:szCs w:val="15"/>
        </w:rPr>
      </w:pPr>
    </w:p>
    <w:p>
      <w:pPr>
        <w:spacing w:line="340" w:lineRule="exact"/>
        <w:jc w:val="center"/>
        <w:rPr>
          <w:rFonts w:ascii="华文中宋" w:hAnsi="华文中宋" w:eastAsia="华文中宋" w:cs="Times New Roman"/>
          <w:color w:val="FF0000"/>
          <w:sz w:val="10"/>
          <w:szCs w:val="10"/>
        </w:rPr>
      </w:pPr>
      <w:bookmarkStart w:id="0" w:name="_GoBack"/>
    </w:p>
    <w:p>
      <w:pPr>
        <w:spacing w:line="340" w:lineRule="exact"/>
        <w:jc w:val="center"/>
        <w:rPr>
          <w:rFonts w:ascii="华文中宋" w:hAnsi="华文中宋" w:eastAsia="华文中宋" w:cs="Times New Roman"/>
          <w:color w:val="FF0000"/>
          <w:sz w:val="13"/>
          <w:szCs w:val="13"/>
        </w:rPr>
      </w:pPr>
    </w:p>
    <w:p>
      <w:pPr>
        <w:spacing w:line="588" w:lineRule="exact"/>
        <w:ind w:right="-771" w:rightChars="-244"/>
        <w:rPr>
          <w:rFonts w:ascii="仿宋_GB2312" w:hAnsi="华文中宋" w:eastAsia="仿宋_GB2312" w:cs="Times New Roman"/>
          <w:b/>
          <w:bCs/>
          <w:color w:val="FF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方正小标宋_GBK"/>
          <w:color w:val="000000"/>
          <w:sz w:val="44"/>
          <w:szCs w:val="44"/>
        </w:rPr>
        <w:t>昆明市</w:t>
      </w:r>
      <w:r>
        <w:rPr>
          <w:rFonts w:hint="eastAsia" w:ascii="方正小标宋_GBK" w:hAnsi="华文中宋" w:eastAsia="方正小标宋_GBK" w:cs="方正小标宋_GBK"/>
          <w:color w:val="000000"/>
          <w:sz w:val="44"/>
          <w:szCs w:val="44"/>
          <w:lang w:val="en-US" w:eastAsia="zh-CN"/>
        </w:rPr>
        <w:t>应急管理局</w:t>
      </w:r>
    </w:p>
    <w:p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关于认定2022年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冶金等工贸行业</w:t>
      </w:r>
    </w:p>
    <w:p>
      <w:pPr>
        <w:snapToGrid w:val="0"/>
        <w:spacing w:line="7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安全生产标准化三级企业的公示</w:t>
      </w:r>
      <w:r>
        <w:rPr>
          <w:rFonts w:ascii="方正小标宋_GBK" w:hAnsi="华文中宋" w:eastAsia="方正小标宋_GBK" w:cs="方正小标宋_GBK"/>
          <w:color w:val="000000"/>
          <w:sz w:val="44"/>
          <w:szCs w:val="44"/>
        </w:rPr>
        <w:t xml:space="preserve"> </w:t>
      </w:r>
    </w:p>
    <w:p>
      <w:pPr>
        <w:snapToGrid w:val="0"/>
        <w:spacing w:line="320" w:lineRule="exact"/>
        <w:rPr>
          <w:rFonts w:ascii="Times New Roman" w:hAnsi="Times New Roman" w:eastAsia="楷体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根据国家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安全监管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总局《关于印发企业安全生产标准化评审工作管理办法（试行）》《全国冶金等工贸企业安全生产标准化考评办法》《云南省工贸行业企业安全生产标准化管理办法》和《昆明市安全生产监督管理局关于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做好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三级安全生产标准化建设工作的通知》（昆安监管〔</w:t>
      </w:r>
      <w:r>
        <w:rPr>
          <w:rFonts w:ascii="仿宋_GB2312" w:hAnsi="微软雅黑" w:eastAsia="仿宋_GB2312" w:cs="宋体"/>
          <w:color w:val="333333"/>
          <w:sz w:val="32"/>
          <w:szCs w:val="32"/>
        </w:rPr>
        <w:t>201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〕</w:t>
      </w:r>
      <w:r>
        <w:rPr>
          <w:rFonts w:hint="default" w:ascii="仿宋_GB2312" w:hAnsi="微软雅黑" w:cs="宋体"/>
          <w:color w:val="333333"/>
          <w:sz w:val="32"/>
          <w:szCs w:val="32"/>
          <w:lang w:val="en" w:eastAsia="zh-CN"/>
        </w:rPr>
        <w:t>72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号）等有关规定，经考评和审核，拟认定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云南正荣石材石雕有限公司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等23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家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企业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为安全生产标准化三级企业，现予公示。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云南正荣石材石雕有限公司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云南养瑞科技集团有限公司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云南水电志达混凝土有限公司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4.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云南巨路环保科技有限公司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5.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云南巨力电缆股份有限公司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6.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石林彝族自治县茂盛大理石厂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7.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 xml:space="preserve">石林县卓信石材厂 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8.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石林县雨布宜天然石材厂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9.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石林县永茂石材厂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10.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石林县银榕制粉厂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11.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石林县双鼎石材厂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12.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石林县昆月大理石厂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13.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石林县吉芬石材厂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14.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石林县大舜石材有限公司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15.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石林县昂氏盛发石材厂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16.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石林天茂石材有限公司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17.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石林天和工贸有限公司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18.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石林顺鑫石材有限公司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19.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石林石川石材厂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20.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石林平大地石材厂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21.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石林建源石材厂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22.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石林华祥石材厂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23.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石林光耀石材厂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（直接定级）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632" w:firstLineChars="2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5688" w:firstLineChars="1800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年</w:t>
      </w:r>
      <w:r>
        <w:rPr>
          <w:rFonts w:hint="default" w:ascii="仿宋_GB2312" w:hAnsi="微软雅黑" w:cs="宋体"/>
          <w:color w:val="333333"/>
          <w:sz w:val="32"/>
          <w:szCs w:val="32"/>
          <w:lang w:val="en" w:eastAsia="zh-CN"/>
        </w:rPr>
        <w:t>5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月</w:t>
      </w:r>
      <w:r>
        <w:rPr>
          <w:rFonts w:hint="default" w:ascii="仿宋_GB2312" w:hAnsi="微软雅黑" w:cs="宋体"/>
          <w:color w:val="333333"/>
          <w:sz w:val="32"/>
          <w:szCs w:val="32"/>
          <w:lang w:val="en" w:eastAsia="zh-CN"/>
        </w:rPr>
        <w:t>7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日</w:t>
      </w:r>
    </w:p>
    <w:p/>
    <w:bookmarkEnd w:id="0"/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F0E44"/>
    <w:rsid w:val="038F0E44"/>
    <w:rsid w:val="3F23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2022-05-20T06:21:00Z</dcterms:created>
  <dc:creator>颖大大</dc:creator>
  <cp:lastModifiedBy>颖大大</cp:lastModifiedBy>
  <dcterms:modified xsi:type="dcterms:W3CDTF">2022-05-20T06:23:29Z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