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638" w:type="dxa"/>
        <w:tblInd w:w="96" w:type="dxa"/>
        <w:tblLayout w:type="fixed"/>
        <w:tblCellMar>
          <w:top w:w="0" w:type="dxa"/>
          <w:left w:w="108" w:type="dxa"/>
          <w:bottom w:w="0" w:type="dxa"/>
          <w:right w:w="108" w:type="dxa"/>
        </w:tblCellMar>
      </w:tblPr>
      <w:tblGrid>
        <w:gridCol w:w="687"/>
        <w:gridCol w:w="2241"/>
        <w:gridCol w:w="3823"/>
        <w:gridCol w:w="2868"/>
        <w:gridCol w:w="1838"/>
        <w:gridCol w:w="2071"/>
      </w:tblGrid>
      <w:tr>
        <w:tblPrEx>
          <w:tblCellMar>
            <w:top w:w="0" w:type="dxa"/>
            <w:left w:w="108" w:type="dxa"/>
            <w:bottom w:w="0" w:type="dxa"/>
            <w:right w:w="108" w:type="dxa"/>
          </w:tblCellMar>
        </w:tblPrEx>
        <w:trPr>
          <w:trHeight w:val="1007" w:hRule="atLeast"/>
        </w:trPr>
        <w:tc>
          <w:tcPr>
            <w:tcW w:w="13638" w:type="dxa"/>
            <w:gridSpan w:val="6"/>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仿宋_GB2312"/>
                <w:color w:val="auto"/>
                <w:kern w:val="2"/>
                <w:sz w:val="36"/>
                <w:szCs w:val="36"/>
                <w:lang w:bidi="ar-SA"/>
              </w:rPr>
            </w:pPr>
            <w:r>
              <w:rPr>
                <w:rFonts w:hint="eastAsia" w:ascii="黑体" w:hAnsi="黑体" w:eastAsia="黑体" w:cs="仿宋_GB2312"/>
                <w:color w:val="auto"/>
                <w:kern w:val="2"/>
                <w:sz w:val="22"/>
                <w:szCs w:val="22"/>
                <w:lang w:bidi="ar-SA"/>
              </w:rPr>
              <w:t>附件</w:t>
            </w:r>
            <w:r>
              <w:rPr>
                <w:rFonts w:ascii="黑体" w:hAnsi="黑体" w:eastAsia="黑体" w:cs="仿宋_GB2312"/>
                <w:color w:val="auto"/>
                <w:kern w:val="2"/>
                <w:sz w:val="22"/>
                <w:szCs w:val="22"/>
                <w:lang w:bidi="ar-SA"/>
              </w:rPr>
              <w:t xml:space="preserve">1                        </w:t>
            </w:r>
            <w:r>
              <w:rPr>
                <w:rFonts w:hint="eastAsia" w:ascii="黑体" w:hAnsi="黑体" w:eastAsia="黑体" w:cs="仿宋_GB2312"/>
                <w:color w:val="auto"/>
                <w:kern w:val="2"/>
                <w:sz w:val="22"/>
                <w:szCs w:val="22"/>
                <w:lang w:val="en-US" w:eastAsia="zh-CN" w:bidi="ar-SA"/>
              </w:rPr>
              <w:t xml:space="preserve">                </w:t>
            </w:r>
            <w:r>
              <w:rPr>
                <w:rFonts w:hint="eastAsia" w:ascii="黑体" w:hAnsi="黑体" w:eastAsia="黑体" w:cs="仿宋_GB2312"/>
                <w:color w:val="auto"/>
                <w:kern w:val="2"/>
                <w:sz w:val="36"/>
                <w:szCs w:val="36"/>
                <w:lang w:val="en-US" w:eastAsia="zh-CN" w:bidi="ar-SA"/>
              </w:rPr>
              <w:t xml:space="preserve">  </w:t>
            </w:r>
            <w:r>
              <w:rPr>
                <w:rFonts w:ascii="黑体" w:hAnsi="黑体" w:eastAsia="黑体" w:cs="仿宋_GB2312"/>
                <w:color w:val="auto"/>
                <w:kern w:val="2"/>
                <w:sz w:val="36"/>
                <w:szCs w:val="36"/>
                <w:lang w:bidi="ar-SA"/>
              </w:rPr>
              <w:t xml:space="preserve">   </w:t>
            </w:r>
            <w:r>
              <w:rPr>
                <w:rFonts w:hint="eastAsia" w:ascii="黑体" w:hAnsi="黑体" w:eastAsia="黑体" w:cs="仿宋_GB2312"/>
                <w:color w:val="auto"/>
                <w:kern w:val="2"/>
                <w:sz w:val="36"/>
                <w:szCs w:val="36"/>
                <w:lang w:bidi="ar-SA"/>
              </w:rPr>
              <w:t>不予处罚事项清单</w:t>
            </w:r>
          </w:p>
          <w:p>
            <w:pPr>
              <w:widowControl w:val="0"/>
              <w:spacing w:line="260" w:lineRule="exact"/>
              <w:jc w:val="both"/>
              <w:textAlignment w:val="auto"/>
              <w:rPr>
                <w:rFonts w:ascii="黑体" w:hAnsi="黑体" w:eastAsia="黑体" w:cs="仿宋_GB2312"/>
                <w:color w:val="auto"/>
                <w:kern w:val="2"/>
                <w:sz w:val="22"/>
                <w:szCs w:val="22"/>
                <w:lang w:bidi="ar-SA"/>
              </w:rPr>
            </w:pPr>
          </w:p>
        </w:tc>
      </w:tr>
      <w:tr>
        <w:tblPrEx>
          <w:tblCellMar>
            <w:top w:w="0" w:type="dxa"/>
            <w:left w:w="108" w:type="dxa"/>
            <w:bottom w:w="0" w:type="dxa"/>
            <w:right w:w="108" w:type="dxa"/>
          </w:tblCellMar>
        </w:tblPrEx>
        <w:trPr>
          <w:trHeight w:val="62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序号</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行政处罚事项</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设定法律依据</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适用情形</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不予处罚法律依据</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val="0"/>
              <w:spacing w:line="260" w:lineRule="exact"/>
              <w:jc w:val="both"/>
              <w:textAlignment w:val="auto"/>
              <w:rPr>
                <w:rFonts w:ascii="黑体" w:hAnsi="黑体" w:eastAsia="黑体" w:cs="仿宋_GB2312"/>
                <w:b w:val="0"/>
                <w:bCs w:val="0"/>
                <w:color w:val="auto"/>
                <w:kern w:val="2"/>
                <w:sz w:val="22"/>
                <w:szCs w:val="22"/>
                <w:lang w:bidi="ar-SA"/>
              </w:rPr>
            </w:pPr>
            <w:r>
              <w:rPr>
                <w:rFonts w:hint="eastAsia" w:ascii="黑体" w:hAnsi="黑体" w:eastAsia="黑体" w:cs="仿宋_GB2312"/>
                <w:b w:val="0"/>
                <w:bCs w:val="0"/>
                <w:color w:val="auto"/>
                <w:kern w:val="2"/>
                <w:sz w:val="22"/>
                <w:szCs w:val="22"/>
                <w:lang w:bidi="ar-SA"/>
              </w:rPr>
              <w:t>备注</w:t>
            </w:r>
          </w:p>
        </w:tc>
      </w:tr>
      <w:tr>
        <w:tblPrEx>
          <w:tblCellMar>
            <w:top w:w="0" w:type="dxa"/>
            <w:left w:w="108" w:type="dxa"/>
            <w:bottom w:w="0" w:type="dxa"/>
            <w:right w:w="108" w:type="dxa"/>
          </w:tblCellMar>
        </w:tblPrEx>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1</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对生产经营单位的主要负责人未组织制定本单位安全生产教育和培训计划的处罚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《中华人民共和国安全生产法》第二十一条第三项：生产经营单位的主要负责人对本单位安全生产工作负有下列职责:（三）组织制定并实施本单位安全生产教育和培训计划。</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当事人没有主观过错，有证据足以证明实际开展过安全生产教育和培训，但未制定；属于首次被发现，经责令限期改正后及时改正，没有造成危害后果的。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Times New Roman" w:hAnsi="Times New Roman" w:eastAsia="仿宋_GB2312" w:cs="Times New Roman"/>
                <w:sz w:val="32"/>
                <w:szCs w:val="32"/>
              </w:rPr>
            </w:pPr>
            <w:r>
              <w:rPr>
                <w:rFonts w:hint="eastAsia" w:ascii="黑体" w:hAnsi="宋体" w:eastAsia="黑体" w:cs="黑体"/>
                <w:color w:val="000000"/>
                <w:sz w:val="22"/>
                <w:szCs w:val="22"/>
              </w:rPr>
              <w:t>《中华人民共和国行政处罚法》第三十三条第一款、第三款</w:t>
            </w:r>
          </w:p>
          <w:p>
            <w:pPr>
              <w:widowControl/>
              <w:jc w:val="left"/>
              <w:textAlignment w:val="center"/>
              <w:rPr>
                <w:rFonts w:ascii="黑体" w:hAnsi="宋体" w:eastAsia="黑体" w:cs="黑体"/>
                <w:color w:val="000000"/>
                <w:sz w:val="22"/>
                <w:szCs w:val="22"/>
              </w:rPr>
            </w:pP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w:t>
            </w:r>
            <w:r>
              <w:rPr>
                <w:rFonts w:hint="eastAsia" w:ascii="黑体" w:hAnsi="黑体" w:eastAsia="黑体" w:cs="仿宋_GB2312"/>
                <w:sz w:val="22"/>
                <w:szCs w:val="22"/>
              </w:rPr>
              <w:t>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jc w:val="left"/>
              <w:textAlignment w:val="center"/>
              <w:rPr>
                <w:rFonts w:ascii="黑体" w:hAnsi="黑体" w:eastAsia="黑体" w:cs="仿宋_GB2312"/>
                <w:color w:val="auto"/>
                <w:kern w:val="2"/>
                <w:sz w:val="22"/>
                <w:szCs w:val="22"/>
                <w:lang w:bidi="ar-SA"/>
              </w:rPr>
            </w:pPr>
            <w:r>
              <w:rPr>
                <w:rFonts w:ascii="黑体" w:hAnsi="黑体" w:eastAsia="黑体" w:cs="仿宋_GB2312"/>
                <w:sz w:val="22"/>
                <w:szCs w:val="22"/>
              </w:rPr>
              <w:t>3.</w:t>
            </w:r>
            <w:r>
              <w:rPr>
                <w:rFonts w:hint="eastAsia" w:ascii="黑体" w:hAnsi="黑体" w:eastAsia="黑体" w:cs="仿宋_GB2312"/>
                <w:sz w:val="22"/>
                <w:szCs w:val="22"/>
              </w:rPr>
              <w:t>加强日常监督管理。</w:t>
            </w:r>
          </w:p>
        </w:tc>
      </w:tr>
      <w:tr>
        <w:trPr>
          <w:trHeight w:val="259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2</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对生产经营单位的主要负责人未组织制定安全生产例会制度的处罚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Style w:val="10"/>
                <w:rFonts w:hint="default"/>
                <w:lang w:bidi="ar"/>
              </w:rPr>
              <w:t>《中华人民共和国安全生产法》第二十一条第二项：生产经营单位的主要负责人对本单位安全生产工作负有下列职责:（二）组织制定并实施本单位安全生产规章制度和操作规程；                                                《云南省安全生产条例》第十八条第二项</w:t>
            </w:r>
            <w:r>
              <w:rPr>
                <w:rStyle w:val="11"/>
                <w:rFonts w:hint="eastAsia" w:eastAsia="黑体"/>
                <w:lang w:bidi="ar"/>
              </w:rPr>
              <w:t>：</w:t>
            </w:r>
            <w:r>
              <w:rPr>
                <w:rStyle w:val="10"/>
                <w:rFonts w:hint="default"/>
                <w:lang w:bidi="ar"/>
              </w:rPr>
              <w:t>生产经营单位应当建立健全下列制度：（二）安全生产例会制度；                                                《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当事人没有主观过错，有证据足以证明实际开展过安全生产例会，但未制定相关制度。属于首次被发现，经责令限期改正后及时改正，没有造成危害后果的。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sz w:val="22"/>
                <w:szCs w:val="22"/>
              </w:rPr>
              <w:t>《中华人民共和国行政处罚法》第三十三条第一款、第三款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jc w:val="left"/>
              <w:textAlignment w:val="center"/>
              <w:rPr>
                <w:rFonts w:ascii="黑体" w:hAnsi="黑体" w:eastAsia="黑体" w:cs="仿宋_GB2312"/>
                <w:color w:val="auto"/>
                <w:kern w:val="2"/>
                <w:sz w:val="22"/>
                <w:szCs w:val="22"/>
                <w:lang w:bidi="ar-SA"/>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3</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对生产经营单位的安全生产管理人员未如实记录安全生产教育和培训情况的处罚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 xml:space="preserve">《中华人民共和国安全生产法》第二十五条第一款第二项：生产经营单位的安全生产管理机构以及安全生产管理人员履行下列职责:（二）组织或者参与本单位安全生产教育和培训，如实记录安全生产教育和培训情况；                           《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                         </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非高危生产经营单位的当事人没有主观过错，有证据证明已按规定进行了安全生产教育和培训，但未如实记录（故意对记录造假的除外）。属于首次被发现,经责令限期改正后及时改正,没有造成危害后果的。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sz w:val="22"/>
                <w:szCs w:val="22"/>
              </w:rPr>
              <w:t>《中华人民共和国行政处罚法》第三十三条第一款、第三款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4</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对生产经营单位的安全生产管理人员未提出改进安全生产管理的建议的处罚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 xml:space="preserve">《中华人民共和国安全生产法》第二十五条第一款第五项：生产经营单位的安全生产管理机构以及安全生产管理人员履行下列职责:（五）检查本单位的安全生产状况，及时排查生产安全事故隐患，提出改进安全生产管理的建议；              </w:t>
            </w:r>
          </w:p>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有证据证明已按规定检查本单位的安全生产状况，及时排查生产安全事故隐患，但未提出改进安全生产管理的建议或者三次以上提出合理化建议而未被采纳的。经责令限期改正后及时改正,没有造成危害后果的。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sz w:val="22"/>
                <w:szCs w:val="22"/>
              </w:rPr>
              <w:t>《中华人民共和国行政处罚法》第三十三条第一款、第三款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5</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对生产经营单位未按照规定配备安全生产管理人员的处罚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中华人民共和国安全生产法》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（一）未按照规定设置安全生产管理机构或者配备安全生产管理人员、注册安全工程师的；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从业人员在30人以下的非高危生产经营单位有证据证明已按规定对本单位的安全生产状况开展检查，及时消除事故隐患，并如实记录了事故隐患排查治理情况的。经责令限期改正后及时改正,没有造成危害后果的。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sz w:val="22"/>
                <w:szCs w:val="22"/>
              </w:rPr>
              <w:t>《中华人民共和国行政处罚法》第三十三条第一款、第三款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rPr>
          <w:trHeight w:val="28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6</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对危险物品的生产、经营、储存、装卸单位以及非煤矿山、金属冶炼单位的主要负责人和安全生产管理人员未按照规定经考核合格的处罚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中华人民共和国安全生产法》第九十七条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当事人没有主观过错，有证据足以证明当事人已经考核合格，但非当事人原因不能提供安全生产合格证的。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sz w:val="22"/>
                <w:szCs w:val="22"/>
              </w:rPr>
              <w:t>《中华人民共和国行政处罚法》第三十三条第一款、第三款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316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7</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对生产经营单位未按照规定对从业人员、被派遣劳动者、实习学生进行安全生产教育和培训，或者未按照规定如实告知有关的安全生产事项的处罚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中华人民共和国安全生产法》第九十七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从业人员在30人以下的非高危生产经营单位有证据证明对从业人员、被派遣劳动者、实习学生进行了安全生产教育和培训，但形式或内容不完全符合规定，属于首次被发现,经责令限期改正后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sz w:val="22"/>
                <w:szCs w:val="22"/>
              </w:rPr>
              <w:t>《中华人民共和国行政处罚法》第三十三条第一款、第三款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黑体" w:hAnsi="宋体" w:eastAsia="黑体" w:cs="黑体"/>
                <w:color w:val="000000"/>
                <w:sz w:val="22"/>
                <w:szCs w:val="22"/>
              </w:rPr>
            </w:pPr>
            <w:r>
              <w:rPr>
                <w:rFonts w:hint="default" w:ascii="黑体" w:hAnsi="宋体" w:eastAsia="黑体" w:cs="黑体"/>
                <w:color w:val="000000"/>
                <w:sz w:val="22"/>
                <w:szCs w:val="22"/>
              </w:rPr>
              <w:t>8</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对生产经营单位未将事故隐患排查治理情况如实记录或者未向从业人员通报的处罚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中华人民共和国安全生产法》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非高危生产经营单位有证据证明开展了隐患排查治理，但未如实记录（故意对记录造假的除外）或者未向从业人员通报（重大事故隐患除外），属于首次被发现,经责令限期改正后及时改正,没有造成危害后果的。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sz w:val="22"/>
                <w:szCs w:val="22"/>
              </w:rPr>
              <w:t>《中华人民共和国行政处罚法》第三十三条第一款、第三款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3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9</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对</w:t>
            </w:r>
            <w:r>
              <w:rPr>
                <w:rFonts w:hint="eastAsia" w:ascii="黑体" w:hAnsi="宋体" w:eastAsia="黑体" w:cs="黑体"/>
                <w:color w:val="000000"/>
                <w:kern w:val="0"/>
                <w:sz w:val="22"/>
                <w:szCs w:val="22"/>
                <w:lang w:bidi="ar"/>
              </w:rPr>
              <w:t>生产经营单位</w:t>
            </w:r>
            <w:r>
              <w:rPr>
                <w:rFonts w:ascii="黑体" w:hAnsi="宋体" w:eastAsia="黑体" w:cs="黑体"/>
                <w:color w:val="000000"/>
                <w:kern w:val="0"/>
                <w:sz w:val="22"/>
                <w:szCs w:val="22"/>
                <w:lang w:bidi="ar"/>
              </w:rPr>
              <w:t>未按规定上报事故隐患排查治理统计分析表的处罚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《安全生产事故隐患排查治理暂行规定》第二十六条第二项</w:t>
            </w:r>
            <w:r>
              <w:rPr>
                <w:rFonts w:hint="eastAsia" w:ascii="黑体" w:hAnsi="宋体" w:eastAsia="黑体" w:cs="黑体"/>
                <w:color w:val="000000"/>
                <w:kern w:val="0"/>
                <w:sz w:val="22"/>
                <w:szCs w:val="22"/>
                <w:lang w:bidi="ar"/>
              </w:rPr>
              <w:t>：生产经营单位违反本规定,有下列行为之一的,由安全监管监察部门给予警告，并处三万元以下的罚款：（二）未按规定上报事故隐患排查治理统计分析表的；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both"/>
              <w:textAlignment w:val="auto"/>
              <w:rPr>
                <w:rFonts w:ascii="黑体" w:hAnsi="宋体" w:eastAsia="黑体" w:cs="黑体"/>
                <w:color w:val="000000"/>
                <w:kern w:val="0"/>
                <w:sz w:val="22"/>
                <w:szCs w:val="22"/>
                <w:lang w:bidi="ar"/>
              </w:rPr>
            </w:pPr>
            <w:r>
              <w:rPr>
                <w:rFonts w:hint="eastAsia" w:ascii="黑体" w:hAnsi="黑体" w:eastAsia="黑体" w:cs="仿宋_GB2312"/>
                <w:color w:val="auto"/>
                <w:kern w:val="2"/>
                <w:sz w:val="22"/>
                <w:szCs w:val="22"/>
                <w:lang w:bidi="ar-SA"/>
              </w:rPr>
              <w:t>三年内未发生安全生产责任事故</w:t>
            </w:r>
            <w:r>
              <w:rPr>
                <w:rFonts w:hint="eastAsia" w:ascii="黑体" w:hAnsi="宋体" w:eastAsia="黑体" w:cs="黑体"/>
                <w:color w:val="000000"/>
                <w:kern w:val="0"/>
                <w:sz w:val="22"/>
                <w:szCs w:val="22"/>
                <w:lang w:bidi="ar"/>
              </w:rPr>
              <w:t>，系初次违法；违法行为轻微并及时改正，没有造成危害后果的。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jc w:val="left"/>
              <w:textAlignment w:val="center"/>
              <w:rPr>
                <w:rFonts w:ascii="黑体" w:hAnsi="黑体" w:eastAsia="黑体" w:cs="仿宋_GB2312"/>
                <w:color w:val="auto"/>
                <w:kern w:val="2"/>
                <w:sz w:val="22"/>
                <w:szCs w:val="22"/>
                <w:lang w:bidi="ar-SA"/>
              </w:rPr>
            </w:pPr>
            <w:r>
              <w:rPr>
                <w:rFonts w:ascii="黑体" w:hAnsi="黑体" w:eastAsia="黑体" w:cs="仿宋_GB2312"/>
                <w:sz w:val="22"/>
                <w:szCs w:val="22"/>
              </w:rPr>
              <w:t>3.加强日常监督管理。</w:t>
            </w:r>
          </w:p>
        </w:tc>
      </w:tr>
      <w:tr>
        <w:trPr>
          <w:trHeight w:val="23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生产经营单位未将事故风险的性质、影响范围和应急防范措施告知周边单位和人员的处罚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《生产安全事故应急预案管理办法》第四十五条：生产经营单位有下列情形之一的，由县级以上人民政府应急管理部门责令限期改正，可以处1万元以上3万元以下罚款：</w:t>
            </w:r>
            <w:r>
              <w:rPr>
                <w:rFonts w:hint="eastAsia" w:ascii="黑体" w:hAnsi="宋体" w:eastAsia="黑体" w:cs="黑体"/>
                <w:color w:val="000000"/>
                <w:kern w:val="0"/>
                <w:sz w:val="22"/>
                <w:szCs w:val="22"/>
                <w:lang w:bidi="ar"/>
              </w:rPr>
              <w:t>（三）</w:t>
            </w:r>
            <w:r>
              <w:rPr>
                <w:rFonts w:ascii="黑体" w:hAnsi="宋体" w:eastAsia="黑体" w:cs="黑体"/>
                <w:color w:val="000000"/>
                <w:kern w:val="0"/>
                <w:sz w:val="22"/>
                <w:szCs w:val="22"/>
                <w:lang w:bidi="ar"/>
              </w:rPr>
              <w:t>事故风险可能影响周边单位、人员的，未将事故风险的性质、影响范围和应急防范措施告知周边单位和人员的。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三年内未发生安全生产责任事故，系初次违法；违法行为轻微并及时改正，没有造成危害后果的。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8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1</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hint="eastAsia" w:ascii="黑体" w:hAnsi="宋体" w:eastAsia="黑体" w:cs="黑体"/>
                <w:color w:val="000000"/>
                <w:kern w:val="0"/>
                <w:sz w:val="22"/>
                <w:szCs w:val="22"/>
                <w:lang w:bidi="ar"/>
              </w:rPr>
              <w:t xml:space="preserve">生产经营单位未落实应急预案规定的应急物资及装备的处罚 </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生产安全事故应急预案管理办法》第四十五条“生产经营单位有下列情形之一的，由县级以上人民政府应急管理部门责令限期改正，可以处1万元以上3万元以下罚款：（六）未落实应急预案规定的应急物资及装备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三年内未发生安全生产责任事故，系初次违法；违法行为轻微并及时改正，没有造成危害后果的。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8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2</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对生产经营单位未在有较大危险因素的生产经营场所（有限空间作业和粉尘防爆除外）和有关设施、设备上设置明显的安全警示标志的处罚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安全生产法》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　　</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有1处未设置明显的安全警示标志的，属于首次被发现，经责令限期改正后及时改正，没有造成危害后果的。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3</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对生产经营场所和员工宿舍未设有标志明显的紧急疏散出口、疏散通道的处罚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安全生产法》第一百零五条第二项：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出口、疏散通道符合紧急疏散需要、保持畅通，但设置的标志不明显，属于首次被发现，经责令限期改正后及时改正，没有造成危害后果的。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4</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安全评价检测检验机构未依法与委托方签订技术服务合同</w:t>
            </w:r>
            <w:r>
              <w:rPr>
                <w:rFonts w:hint="eastAsia" w:ascii="黑体" w:hAnsi="宋体" w:eastAsia="黑体" w:cs="黑体"/>
                <w:color w:val="000000"/>
                <w:kern w:val="0"/>
                <w:sz w:val="22"/>
                <w:szCs w:val="22"/>
                <w:lang w:bidi="ar"/>
              </w:rPr>
              <w:t>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《安全评价检测检验机构管理办法》第三十条第一项</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（一）未依法与委托方签订技术服务合同的；</w:t>
            </w:r>
          </w:p>
          <w:p>
            <w:pPr>
              <w:widowControl/>
              <w:jc w:val="left"/>
              <w:textAlignment w:val="center"/>
              <w:rPr>
                <w:rFonts w:ascii="黑体" w:hAnsi="宋体" w:eastAsia="黑体" w:cs="黑体"/>
                <w:color w:val="000000"/>
                <w:kern w:val="0"/>
                <w:sz w:val="22"/>
                <w:szCs w:val="22"/>
                <w:lang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初次违法；违法行为轻微并及时改正，没有造成危害后果的。</w:t>
            </w:r>
          </w:p>
          <w:p>
            <w:pPr>
              <w:widowControl/>
              <w:jc w:val="left"/>
              <w:textAlignment w:val="center"/>
              <w:rPr>
                <w:rFonts w:ascii="黑体" w:hAnsi="宋体" w:eastAsia="黑体" w:cs="黑体"/>
                <w:color w:val="000000"/>
                <w:kern w:val="0"/>
                <w:sz w:val="22"/>
                <w:szCs w:val="22"/>
                <w:lang w:bidi="ar"/>
              </w:rPr>
            </w:pP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5</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安全评价检测检验机构名称、注册地址、实验室条件、法定代表人、专职技术负责人、授权签字人发生变化之日起三十日内未向原资质认可机关提出变更申请</w:t>
            </w:r>
            <w:r>
              <w:rPr>
                <w:rFonts w:hint="eastAsia" w:ascii="黑体" w:hAnsi="宋体" w:eastAsia="黑体" w:cs="黑体"/>
                <w:color w:val="000000"/>
                <w:kern w:val="0"/>
                <w:sz w:val="22"/>
                <w:szCs w:val="22"/>
                <w:lang w:bidi="ar"/>
              </w:rPr>
              <w:t>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《安全评价检测检验机构管理办法》第三十条第</w:t>
            </w:r>
            <w:r>
              <w:rPr>
                <w:rFonts w:hint="eastAsia" w:ascii="黑体" w:hAnsi="宋体" w:eastAsia="黑体" w:cs="黑体"/>
                <w:color w:val="000000"/>
                <w:kern w:val="0"/>
                <w:sz w:val="22"/>
                <w:szCs w:val="22"/>
                <w:lang w:bidi="ar"/>
              </w:rPr>
              <w:t>五</w:t>
            </w:r>
            <w:r>
              <w:rPr>
                <w:rFonts w:ascii="黑体" w:hAnsi="宋体" w:eastAsia="黑体" w:cs="黑体"/>
                <w:color w:val="000000"/>
                <w:kern w:val="0"/>
                <w:sz w:val="22"/>
                <w:szCs w:val="22"/>
                <w:lang w:bidi="ar"/>
              </w:rPr>
              <w:t>项</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黑体" w:hAnsi="宋体" w:eastAsia="黑体" w:cs="黑体"/>
                <w:color w:val="000000"/>
                <w:kern w:val="0"/>
                <w:sz w:val="22"/>
                <w:szCs w:val="22"/>
                <w:lang w:bidi="ar"/>
              </w:rPr>
              <w:t>；</w:t>
            </w:r>
            <w:r>
              <w:rPr>
                <w:rFonts w:ascii="黑体" w:hAnsi="宋体" w:eastAsia="黑体" w:cs="黑体"/>
                <w:color w:val="000000"/>
                <w:kern w:val="0"/>
                <w:sz w:val="22"/>
                <w:szCs w:val="22"/>
                <w:lang w:bidi="ar"/>
              </w:rPr>
              <w:t>（五）机构名称、注册地址、实验室条件、法定代表人、专职技术负责人、授权签字人发生变化之日起三十日内未向原资质认可机关提出变更申请的；</w:t>
            </w:r>
          </w:p>
          <w:p>
            <w:pPr>
              <w:widowControl/>
              <w:jc w:val="left"/>
              <w:textAlignment w:val="center"/>
              <w:rPr>
                <w:rFonts w:ascii="黑体" w:hAnsi="宋体" w:eastAsia="黑体" w:cs="黑体"/>
                <w:color w:val="000000"/>
                <w:kern w:val="0"/>
                <w:sz w:val="22"/>
                <w:szCs w:val="22"/>
                <w:lang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逾期未申请变更，系初次违法；违法行为轻微并及时改正，没有造成危害后果的。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jc w:val="left"/>
              <w:textAlignment w:val="center"/>
              <w:rPr>
                <w:rFonts w:ascii="黑体" w:hAnsi="黑体" w:eastAsia="黑体" w:cs="仿宋_GB2312"/>
                <w:color w:val="auto"/>
                <w:kern w:val="2"/>
                <w:sz w:val="22"/>
                <w:szCs w:val="22"/>
                <w:lang w:bidi="ar-SA"/>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w:t>
            </w:r>
            <w:r>
              <w:rPr>
                <w:rFonts w:hint="default" w:ascii="黑体" w:hAnsi="宋体" w:eastAsia="黑体" w:cs="黑体"/>
                <w:color w:val="000000"/>
                <w:kern w:val="0"/>
                <w:sz w:val="22"/>
                <w:szCs w:val="22"/>
                <w:lang w:bidi="ar"/>
              </w:rPr>
              <w:t>6</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非煤矿矿山企业单位名称、主要负责人、单位地址、经济类型</w:t>
            </w:r>
            <w:r>
              <w:rPr>
                <w:rFonts w:hint="eastAsia" w:ascii="黑体" w:hAnsi="宋体" w:eastAsia="黑体" w:cs="黑体"/>
                <w:color w:val="000000"/>
                <w:kern w:val="0"/>
                <w:sz w:val="22"/>
                <w:szCs w:val="22"/>
                <w:lang w:bidi="ar"/>
              </w:rPr>
              <w:t>、许可范围</w:t>
            </w:r>
            <w:r>
              <w:rPr>
                <w:rFonts w:ascii="黑体" w:hAnsi="宋体" w:eastAsia="黑体" w:cs="黑体"/>
                <w:color w:val="000000"/>
                <w:kern w:val="0"/>
                <w:sz w:val="22"/>
                <w:szCs w:val="22"/>
                <w:lang w:bidi="ar"/>
              </w:rPr>
              <w:t>发生变更，未按照规定申请、办理变更安全生产许可证</w:t>
            </w:r>
            <w:r>
              <w:rPr>
                <w:rFonts w:hint="eastAsia" w:ascii="黑体" w:hAnsi="宋体" w:eastAsia="黑体" w:cs="黑体"/>
                <w:color w:val="000000"/>
                <w:kern w:val="0"/>
                <w:sz w:val="22"/>
                <w:szCs w:val="22"/>
                <w:lang w:bidi="ar"/>
              </w:rPr>
              <w:t>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非煤矿矿山企业安全生产许可证实施办法》第二十一条“非煤矿矿山企业在安全生产许可证有效期内有下列情形之一的，应当自工商营业执照变更之日起30个工作日内向原安全生产许可证颁发管理机关申请变更安全生产许可证”；第四十四条第一款“非煤矿矿山企业在安全生产许可证有效期内，出现需要变更安全生产许可证的情形，未按本实施办法第二十一条的规定申请、办理变更手续的，责令限期办理变更手续，并处1万元以上3万元以下罚款”</w:t>
            </w:r>
          </w:p>
          <w:p>
            <w:pPr>
              <w:widowControl/>
              <w:jc w:val="left"/>
              <w:textAlignment w:val="center"/>
              <w:rPr>
                <w:rFonts w:ascii="黑体" w:hAnsi="宋体" w:eastAsia="黑体" w:cs="黑体"/>
                <w:color w:val="000000"/>
                <w:kern w:val="0"/>
                <w:sz w:val="22"/>
                <w:szCs w:val="22"/>
                <w:lang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三年内未发生安全生产责任事故，逾期未申请变更，系初次违法；违法行为轻微并及时改正，没有造成危害后果的。</w:t>
            </w:r>
          </w:p>
          <w:p>
            <w:pPr>
              <w:widowControl/>
              <w:jc w:val="left"/>
              <w:textAlignment w:val="center"/>
              <w:rPr>
                <w:rFonts w:ascii="黑体" w:hAnsi="宋体" w:eastAsia="黑体" w:cs="黑体"/>
                <w:color w:val="000000"/>
                <w:kern w:val="0"/>
                <w:sz w:val="22"/>
                <w:szCs w:val="22"/>
                <w:lang w:bidi="ar"/>
              </w:rPr>
            </w:pP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17</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hint="eastAsia" w:ascii="黑体" w:hAnsi="宋体" w:eastAsia="黑体" w:cs="黑体"/>
                <w:color w:val="000000"/>
                <w:kern w:val="0"/>
                <w:sz w:val="22"/>
                <w:szCs w:val="22"/>
                <w:lang w:bidi="ar"/>
              </w:rPr>
              <w:t>危险化学品生产企业在安全生产许可证有效期内主要负责人、企业名称、注册地址、隶属关系发生变更或者新增产品、改变工艺技术对企业安全生产产生重大影响，未按照规定的时限提出安全生产许可证变更申请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危险化学品生产企业安全生产许可证实施办法》第三十条“企业在安全生产许可证有效期内变更主要负责人、企业名称或者注册地址的，应当自工商营业执照或者隶属关系变更之日起10个工作日内向实施机关提出变更申请”；第四十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三年内未发生安全生产责任事故，逾期未申请变更，系初次违法；违法行为轻微并及时改正，没有造成危害后果的。</w:t>
            </w:r>
          </w:p>
          <w:p>
            <w:pPr>
              <w:widowControl/>
              <w:jc w:val="left"/>
              <w:textAlignment w:val="center"/>
              <w:rPr>
                <w:rFonts w:ascii="黑体" w:hAnsi="宋体" w:eastAsia="黑体" w:cs="黑体"/>
                <w:color w:val="000000"/>
                <w:kern w:val="0"/>
                <w:sz w:val="22"/>
                <w:szCs w:val="22"/>
                <w:lang w:bidi="ar"/>
              </w:rPr>
            </w:pP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jc w:val="left"/>
              <w:textAlignment w:val="center"/>
              <w:rPr>
                <w:rFonts w:ascii="黑体" w:hAnsi="黑体" w:eastAsia="黑体" w:cs="仿宋_GB2312"/>
                <w:color w:val="auto"/>
                <w:kern w:val="2"/>
                <w:sz w:val="22"/>
                <w:szCs w:val="22"/>
                <w:lang w:bidi="ar-SA"/>
              </w:rPr>
            </w:pPr>
            <w:r>
              <w:rPr>
                <w:rFonts w:ascii="黑体" w:hAnsi="黑体" w:eastAsia="黑体" w:cs="仿宋_GB2312"/>
                <w:sz w:val="22"/>
                <w:szCs w:val="22"/>
              </w:rPr>
              <w:t>3.加强日常监督管理。</w:t>
            </w:r>
          </w:p>
        </w:tc>
      </w:tr>
      <w:tr>
        <w:trPr>
          <w:trHeight w:val="127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18</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hint="eastAsia" w:ascii="黑体" w:hAnsi="宋体" w:eastAsia="黑体" w:cs="黑体"/>
                <w:color w:val="000000"/>
                <w:kern w:val="0"/>
                <w:sz w:val="22"/>
                <w:szCs w:val="22"/>
                <w:lang w:bidi="ar"/>
              </w:rPr>
              <w:t>危险化学品经营企业变更企业名称、主要负责人、注册地址或者危险化学品储存设施及其监控措施的，未按照规定的时限提出经营许可证变更申请的处罚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危险化学品经营许可证管理办法》第十四条“已经取得经营许可证的企业变更企业名称、主要负责人、注册地址或者危险化学品储存设施及其监控措施的，应当自变更之日起20个工作日内，向本办法第五条规定的发证机关提出书面变更申请”；第十六条“企业有新建、改建、扩建危险化学品储存设施建设项目的，应当自建设项目安全设施竣工验收合格之日起20个工作日内，向本办法第五条规定的发证机关提出变更申请”；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三年内未发生安全生产责任事故，逾期未申请变更，系初次违法；违法行为轻微并及时改正，没有造成危害后果的。</w:t>
            </w:r>
          </w:p>
          <w:p>
            <w:pPr>
              <w:widowControl/>
              <w:jc w:val="left"/>
              <w:textAlignment w:val="center"/>
              <w:rPr>
                <w:rFonts w:ascii="黑体" w:hAnsi="宋体" w:eastAsia="黑体" w:cs="黑体"/>
                <w:color w:val="000000"/>
                <w:kern w:val="0"/>
                <w:sz w:val="22"/>
                <w:szCs w:val="22"/>
                <w:lang w:bidi="ar"/>
              </w:rPr>
            </w:pP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2.责令限期改正，并及时复查</w:t>
            </w:r>
            <w:r>
              <w:rPr>
                <w:rFonts w:hint="eastAsia" w:ascii="黑体" w:hAnsi="黑体" w:eastAsia="黑体" w:cs="仿宋_GB2312"/>
                <w:sz w:val="22"/>
                <w:szCs w:val="22"/>
              </w:rPr>
              <w:t>；</w:t>
            </w:r>
          </w:p>
          <w:p>
            <w:pPr>
              <w:widowControl/>
              <w:spacing w:line="260" w:lineRule="exact"/>
              <w:jc w:val="left"/>
              <w:textAlignment w:val="center"/>
              <w:rPr>
                <w:rFonts w:ascii="黑体" w:hAnsi="黑体" w:eastAsia="黑体" w:cs="仿宋_GB2312"/>
                <w:color w:val="auto"/>
                <w:kern w:val="2"/>
                <w:sz w:val="22"/>
                <w:szCs w:val="22"/>
                <w:lang w:bidi="ar-SA"/>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19</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烟花爆竹</w:t>
            </w:r>
            <w:r>
              <w:rPr>
                <w:rFonts w:hint="eastAsia" w:ascii="黑体" w:hAnsi="宋体" w:eastAsia="黑体" w:cs="黑体"/>
                <w:color w:val="000000"/>
                <w:kern w:val="0"/>
                <w:sz w:val="22"/>
                <w:szCs w:val="22"/>
                <w:lang w:bidi="ar"/>
              </w:rPr>
              <w:t>生产</w:t>
            </w:r>
            <w:r>
              <w:rPr>
                <w:rFonts w:ascii="黑体" w:hAnsi="宋体" w:eastAsia="黑体" w:cs="黑体"/>
                <w:color w:val="000000"/>
                <w:kern w:val="0"/>
                <w:sz w:val="22"/>
                <w:szCs w:val="22"/>
                <w:lang w:bidi="ar"/>
              </w:rPr>
              <w:t>企业变更企业名称、主要负责人</w:t>
            </w:r>
            <w:r>
              <w:rPr>
                <w:rFonts w:hint="eastAsia" w:ascii="黑体" w:hAnsi="宋体" w:eastAsia="黑体" w:cs="黑体"/>
                <w:color w:val="000000"/>
                <w:kern w:val="0"/>
                <w:sz w:val="22"/>
                <w:szCs w:val="22"/>
                <w:lang w:bidi="ar"/>
              </w:rPr>
              <w:t>或名称</w:t>
            </w:r>
            <w:r>
              <w:rPr>
                <w:rFonts w:ascii="黑体" w:hAnsi="宋体" w:eastAsia="黑体" w:cs="黑体"/>
                <w:color w:val="000000"/>
                <w:kern w:val="0"/>
                <w:sz w:val="22"/>
                <w:szCs w:val="22"/>
                <w:lang w:bidi="ar"/>
              </w:rPr>
              <w:t>，未按照规定办理变更手续</w:t>
            </w:r>
            <w:r>
              <w:rPr>
                <w:rFonts w:hint="eastAsia" w:ascii="黑体" w:hAnsi="宋体" w:eastAsia="黑体" w:cs="黑体"/>
                <w:color w:val="000000"/>
                <w:kern w:val="0"/>
                <w:sz w:val="22"/>
                <w:szCs w:val="22"/>
                <w:lang w:bidi="ar"/>
              </w:rPr>
              <w:t>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烟花爆竹生产企业安全生产许可证实施办法》第二十七条“企业在安全生产许可证有效期内有下列情形之一的，应当按照本办法第二十八条的规定申请变更安全生产许可证：（三）变更企业主要负责人的，（四）变更企业名称的”；第四十三条“企业有本办法第二十七条第四项情形申请变更的，应当自取得变更后的工商营业执照或者企业名称工商预先核准文件之日起10个工作日内，，向所在地发证机关提交安全生产许可证变更申请书”；第四十三条第一项</w:t>
            </w:r>
            <w:r>
              <w:rPr>
                <w:rFonts w:ascii="黑体" w:hAnsi="宋体" w:eastAsia="黑体" w:cs="黑体"/>
                <w:color w:val="000000"/>
                <w:kern w:val="0"/>
                <w:sz w:val="22"/>
                <w:szCs w:val="22"/>
                <w:lang w:bidi="ar"/>
              </w:rPr>
              <w:t> </w:t>
            </w:r>
            <w:r>
              <w:rPr>
                <w:rFonts w:hint="eastAsia" w:ascii="黑体" w:hAnsi="宋体" w:eastAsia="黑体" w:cs="黑体"/>
                <w:color w:val="000000"/>
                <w:kern w:val="0"/>
                <w:sz w:val="22"/>
                <w:szCs w:val="22"/>
                <w:lang w:bidi="ar"/>
              </w:rPr>
              <w:t>企业有下列行为之一的，责令停止违法活动或者限期改正，并处</w:t>
            </w:r>
            <w:r>
              <w:rPr>
                <w:rFonts w:ascii="黑体" w:hAnsi="宋体" w:eastAsia="黑体" w:cs="黑体"/>
                <w:color w:val="000000"/>
                <w:kern w:val="0"/>
                <w:sz w:val="22"/>
                <w:szCs w:val="22"/>
                <w:lang w:bidi="ar"/>
              </w:rPr>
              <w:t>1</w:t>
            </w:r>
            <w:r>
              <w:rPr>
                <w:rFonts w:hint="eastAsia" w:ascii="黑体" w:hAnsi="宋体" w:eastAsia="黑体" w:cs="黑体"/>
                <w:color w:val="000000"/>
                <w:kern w:val="0"/>
                <w:sz w:val="22"/>
                <w:szCs w:val="22"/>
                <w:lang w:bidi="ar"/>
              </w:rPr>
              <w:t>万元以上</w:t>
            </w:r>
            <w:r>
              <w:rPr>
                <w:rFonts w:ascii="黑体" w:hAnsi="宋体" w:eastAsia="黑体" w:cs="黑体"/>
                <w:color w:val="000000"/>
                <w:kern w:val="0"/>
                <w:sz w:val="22"/>
                <w:szCs w:val="22"/>
                <w:lang w:bidi="ar"/>
              </w:rPr>
              <w:t>3</w:t>
            </w:r>
            <w:r>
              <w:rPr>
                <w:rFonts w:hint="eastAsia" w:ascii="黑体" w:hAnsi="宋体" w:eastAsia="黑体" w:cs="黑体"/>
                <w:color w:val="000000"/>
                <w:kern w:val="0"/>
                <w:sz w:val="22"/>
                <w:szCs w:val="22"/>
                <w:lang w:bidi="ar"/>
              </w:rPr>
              <w:t>万元以下的罚款：（一）变更企业主要负责人或者名称，未办理安全生产许可证变更手续的；</w:t>
            </w:r>
          </w:p>
          <w:p>
            <w:pPr>
              <w:widowControl/>
              <w:jc w:val="left"/>
              <w:textAlignment w:val="center"/>
              <w:rPr>
                <w:rFonts w:ascii="黑体" w:hAnsi="宋体" w:eastAsia="黑体" w:cs="黑体"/>
                <w:color w:val="000000"/>
                <w:kern w:val="0"/>
                <w:sz w:val="22"/>
                <w:szCs w:val="22"/>
                <w:lang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三年内未发生安全生产责任事故，逾期未申请变更，系初次违法；违法行为轻微并及时改正，没有造成危害后果的。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jc w:val="left"/>
              <w:textAlignment w:val="center"/>
              <w:rPr>
                <w:rFonts w:ascii="黑体" w:hAnsi="黑体" w:eastAsia="黑体" w:cs="仿宋_GB2312"/>
                <w:color w:val="auto"/>
                <w:kern w:val="2"/>
                <w:sz w:val="22"/>
                <w:szCs w:val="22"/>
                <w:lang w:bidi="ar-SA"/>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20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化学品生产、进口单位未按照《化学品物理危险性鉴定与分类管理办法》规定建立化学品物理危险性鉴定与分类管理档案</w:t>
            </w:r>
            <w:r>
              <w:rPr>
                <w:rFonts w:hint="eastAsia" w:ascii="黑体" w:hAnsi="宋体" w:eastAsia="黑体" w:cs="黑体"/>
                <w:color w:val="000000"/>
                <w:kern w:val="0"/>
                <w:sz w:val="22"/>
                <w:szCs w:val="22"/>
                <w:lang w:bidi="ar"/>
              </w:rPr>
              <w:t>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 xml:space="preserve">《化学品物理危险性鉴定与分类管理办法》第十九条：化学品单位有下列情形之一的，由安全生产监督管理部门责令限期改正，可以处1万元以下的罚款；拒不改正的，处1万元以上3万元以下的罚款： </w:t>
            </w:r>
            <w:r>
              <w:rPr>
                <w:rFonts w:hint="eastAsia" w:ascii="黑体" w:hAnsi="宋体" w:eastAsia="黑体" w:cs="黑体"/>
                <w:color w:val="000000"/>
                <w:kern w:val="0"/>
                <w:sz w:val="22"/>
                <w:szCs w:val="22"/>
                <w:lang w:bidi="ar"/>
              </w:rPr>
              <w:t>（二）</w:t>
            </w:r>
            <w:r>
              <w:rPr>
                <w:rFonts w:ascii="黑体" w:hAnsi="宋体" w:eastAsia="黑体" w:cs="黑体"/>
                <w:color w:val="000000"/>
                <w:kern w:val="0"/>
                <w:sz w:val="22"/>
                <w:szCs w:val="22"/>
                <w:lang w:bidi="ar"/>
              </w:rPr>
              <w:t>未按照本办法规定建立化学品物理危险性鉴定与分类管理档案的。</w:t>
            </w:r>
          </w:p>
          <w:p>
            <w:pPr>
              <w:widowControl/>
              <w:jc w:val="left"/>
              <w:textAlignment w:val="center"/>
              <w:rPr>
                <w:rFonts w:ascii="黑体" w:hAnsi="宋体" w:eastAsia="黑体" w:cs="黑体"/>
                <w:color w:val="000000"/>
                <w:kern w:val="0"/>
                <w:sz w:val="22"/>
                <w:szCs w:val="22"/>
                <w:lang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三年内未发生安全生产责任事故，系初次违法；违法行为轻微并及时改正，没有造成危害后果的。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jc w:val="left"/>
              <w:textAlignment w:val="center"/>
              <w:rPr>
                <w:rFonts w:ascii="黑体" w:hAnsi="黑体" w:eastAsia="黑体" w:cs="仿宋_GB2312"/>
                <w:color w:val="auto"/>
                <w:kern w:val="2"/>
                <w:sz w:val="22"/>
                <w:szCs w:val="22"/>
                <w:lang w:bidi="ar-SA"/>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default" w:ascii="黑体" w:hAnsi="宋体" w:eastAsia="黑体" w:cs="黑体"/>
                <w:color w:val="000000"/>
                <w:kern w:val="0"/>
                <w:sz w:val="22"/>
                <w:szCs w:val="22"/>
                <w:lang w:bidi="ar"/>
              </w:rPr>
              <w:t>21</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危险化学品生产企业、进口企业未向用户提供应急咨询服务或者应急咨询服务不符合规定</w:t>
            </w:r>
            <w:r>
              <w:rPr>
                <w:rFonts w:hint="eastAsia" w:ascii="黑体" w:hAnsi="宋体" w:eastAsia="黑体" w:cs="黑体"/>
                <w:color w:val="000000"/>
                <w:kern w:val="0"/>
                <w:sz w:val="22"/>
                <w:szCs w:val="22"/>
                <w:lang w:bidi="ar"/>
              </w:rPr>
              <w:t>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《危险化学品登记管理办法》第三十条：登记企业有下列行为之一的，责令改正，可以处3万元以下的罚款：</w:t>
            </w:r>
            <w:r>
              <w:rPr>
                <w:rFonts w:hint="eastAsia" w:ascii="黑体" w:hAnsi="宋体" w:eastAsia="黑体" w:cs="黑体"/>
                <w:color w:val="000000"/>
                <w:kern w:val="0"/>
                <w:sz w:val="22"/>
                <w:szCs w:val="22"/>
                <w:lang w:bidi="ar"/>
              </w:rPr>
              <w:t>（一）</w:t>
            </w:r>
            <w:r>
              <w:rPr>
                <w:rFonts w:ascii="黑体" w:hAnsi="宋体" w:eastAsia="黑体" w:cs="黑体"/>
                <w:color w:val="000000"/>
                <w:kern w:val="0"/>
                <w:sz w:val="22"/>
                <w:szCs w:val="22"/>
                <w:lang w:bidi="ar"/>
              </w:rPr>
              <w:t>未向用户提供应急咨询服务或者应急咨询服务不符合本办法第二十二条规定的。</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三年未发生事故及未被应急管理部门实施行政处罚</w:t>
            </w:r>
            <w:r>
              <w:rPr>
                <w:rFonts w:hint="eastAsia" w:ascii="黑体" w:hAnsi="宋体" w:eastAsia="黑体" w:cs="黑体"/>
                <w:color w:val="000000"/>
                <w:kern w:val="0"/>
                <w:sz w:val="22"/>
                <w:szCs w:val="22"/>
                <w:lang w:bidi="ar"/>
              </w:rPr>
              <w:t>的；初次违法并承诺及时改正的；</w:t>
            </w:r>
            <w:r>
              <w:rPr>
                <w:rFonts w:ascii="黑体" w:hAnsi="宋体" w:eastAsia="黑体" w:cs="黑体"/>
                <w:color w:val="000000"/>
                <w:kern w:val="0"/>
                <w:sz w:val="22"/>
                <w:szCs w:val="22"/>
                <w:lang w:bidi="ar"/>
              </w:rPr>
              <w:t>没有造成危害后果</w:t>
            </w:r>
            <w:r>
              <w:rPr>
                <w:rFonts w:hint="eastAsia" w:ascii="黑体" w:hAnsi="宋体" w:eastAsia="黑体" w:cs="黑体"/>
                <w:color w:val="000000"/>
                <w:kern w:val="0"/>
                <w:sz w:val="22"/>
                <w:szCs w:val="22"/>
                <w:lang w:bidi="ar"/>
              </w:rPr>
              <w:t>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jc w:val="left"/>
              <w:textAlignment w:val="center"/>
              <w:rPr>
                <w:rFonts w:ascii="黑体" w:hAnsi="黑体" w:eastAsia="黑体" w:cs="仿宋_GB2312"/>
                <w:color w:val="auto"/>
                <w:kern w:val="2"/>
                <w:sz w:val="22"/>
                <w:szCs w:val="22"/>
                <w:lang w:bidi="ar-SA"/>
              </w:rPr>
            </w:pPr>
            <w:r>
              <w:rPr>
                <w:rFonts w:ascii="黑体" w:hAnsi="黑体" w:eastAsia="黑体" w:cs="仿宋_GB2312"/>
                <w:sz w:val="22"/>
                <w:szCs w:val="22"/>
              </w:rPr>
              <w:t>3.加强日常监督管理。</w:t>
            </w:r>
          </w:p>
        </w:tc>
      </w:tr>
      <w:tr>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2</w:t>
            </w:r>
            <w:r>
              <w:rPr>
                <w:rFonts w:hint="default" w:ascii="黑体" w:hAnsi="宋体" w:eastAsia="黑体" w:cs="黑体"/>
                <w:color w:val="000000"/>
                <w:kern w:val="0"/>
                <w:sz w:val="22"/>
                <w:szCs w:val="22"/>
                <w:lang w:bidi="ar"/>
              </w:rPr>
              <w:t>2</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危险化学品建设单位建设项目安全设施竣工后未进行检验、检测</w:t>
            </w:r>
            <w:r>
              <w:rPr>
                <w:rFonts w:hint="eastAsia" w:ascii="黑体" w:hAnsi="宋体" w:eastAsia="黑体" w:cs="黑体"/>
                <w:color w:val="000000"/>
                <w:kern w:val="0"/>
                <w:sz w:val="22"/>
                <w:szCs w:val="22"/>
                <w:lang w:bidi="ar"/>
              </w:rPr>
              <w:t>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《危险化学品建设项目安全监督管理办法》第三十七条：建设单位有下列行为之一的，责令改正，可以处1万元以下的罚款；逾期未改正的，处1万元以上3万元以下的罚款：</w:t>
            </w:r>
            <w:r>
              <w:rPr>
                <w:rFonts w:hint="eastAsia" w:ascii="黑体" w:hAnsi="宋体" w:eastAsia="黑体" w:cs="黑体"/>
                <w:color w:val="000000"/>
                <w:kern w:val="0"/>
                <w:sz w:val="22"/>
                <w:szCs w:val="22"/>
                <w:lang w:bidi="ar"/>
              </w:rPr>
              <w:t>（一）</w:t>
            </w:r>
            <w:r>
              <w:rPr>
                <w:rFonts w:ascii="黑体" w:hAnsi="宋体" w:eastAsia="黑体" w:cs="黑体"/>
                <w:color w:val="000000"/>
                <w:kern w:val="0"/>
                <w:sz w:val="22"/>
                <w:szCs w:val="22"/>
                <w:lang w:bidi="ar"/>
              </w:rPr>
              <w:t>建设项目安全设施竣工后未进行检验、检测的。</w:t>
            </w:r>
          </w:p>
          <w:p>
            <w:pPr>
              <w:widowControl/>
              <w:jc w:val="left"/>
              <w:textAlignment w:val="center"/>
              <w:rPr>
                <w:rFonts w:ascii="黑体" w:hAnsi="宋体" w:eastAsia="黑体" w:cs="黑体"/>
                <w:color w:val="000000"/>
                <w:kern w:val="0"/>
                <w:sz w:val="22"/>
                <w:szCs w:val="22"/>
                <w:lang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三年未发生事故及未被应急管理部门实施行政处罚</w:t>
            </w:r>
            <w:r>
              <w:rPr>
                <w:rFonts w:hint="eastAsia" w:ascii="黑体" w:hAnsi="宋体" w:eastAsia="黑体" w:cs="黑体"/>
                <w:color w:val="000000"/>
                <w:kern w:val="0"/>
                <w:sz w:val="22"/>
                <w:szCs w:val="22"/>
                <w:lang w:bidi="ar"/>
              </w:rPr>
              <w:t>的；初次违法并承诺及时改正的；</w:t>
            </w:r>
            <w:r>
              <w:rPr>
                <w:rFonts w:ascii="黑体" w:hAnsi="宋体" w:eastAsia="黑体" w:cs="黑体"/>
                <w:color w:val="000000"/>
                <w:kern w:val="0"/>
                <w:sz w:val="22"/>
                <w:szCs w:val="22"/>
                <w:lang w:bidi="ar"/>
              </w:rPr>
              <w:t>没有造成危害后果</w:t>
            </w:r>
            <w:r>
              <w:rPr>
                <w:rFonts w:hint="eastAsia" w:ascii="黑体" w:hAnsi="宋体" w:eastAsia="黑体" w:cs="黑体"/>
                <w:color w:val="000000"/>
                <w:kern w:val="0"/>
                <w:sz w:val="22"/>
                <w:szCs w:val="22"/>
                <w:lang w:bidi="ar"/>
              </w:rPr>
              <w:t>的。</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val="0"/>
              <w:spacing w:line="260" w:lineRule="exact"/>
              <w:jc w:val="both"/>
              <w:textAlignment w:val="auto"/>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01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2</w:t>
            </w:r>
            <w:r>
              <w:rPr>
                <w:rFonts w:hint="default" w:ascii="黑体" w:hAnsi="宋体" w:eastAsia="黑体" w:cs="黑体"/>
                <w:color w:val="000000"/>
                <w:kern w:val="0"/>
                <w:sz w:val="22"/>
                <w:szCs w:val="22"/>
                <w:lang w:bidi="ar"/>
              </w:rPr>
              <w:t>3</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eastAsia="zh-CN" w:bidi="ar"/>
              </w:rPr>
              <w:t>对</w:t>
            </w:r>
            <w:r>
              <w:rPr>
                <w:rFonts w:ascii="黑体" w:hAnsi="宋体" w:eastAsia="黑体" w:cs="黑体"/>
                <w:color w:val="000000"/>
                <w:kern w:val="0"/>
                <w:sz w:val="22"/>
                <w:szCs w:val="22"/>
                <w:lang w:bidi="ar"/>
              </w:rPr>
              <w:t>安全培训机构未按照统一的培训大纲组织教学培训</w:t>
            </w:r>
            <w:r>
              <w:rPr>
                <w:rFonts w:hint="eastAsia" w:ascii="黑体" w:hAnsi="宋体" w:eastAsia="黑体" w:cs="黑体"/>
                <w:color w:val="000000"/>
                <w:kern w:val="0"/>
                <w:sz w:val="22"/>
                <w:szCs w:val="22"/>
                <w:lang w:bidi="ar"/>
              </w:rPr>
              <w:t>的处罚</w:t>
            </w:r>
          </w:p>
        </w:tc>
        <w:tc>
          <w:tcPr>
            <w:tcW w:w="3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《安全生产培训管理办法》第 34 条：安全培训机构有下列情形之一的，责令限期改正，处 1万元以下的罚款；逾期未改正的，给予警告，处 1 万元以上 3万元以下的罚款：（二）未按照统一的培训大纲组织教学培训的</w:t>
            </w:r>
          </w:p>
          <w:p>
            <w:pPr>
              <w:widowControl/>
              <w:jc w:val="left"/>
              <w:textAlignment w:val="center"/>
              <w:rPr>
                <w:rFonts w:ascii="黑体" w:hAnsi="宋体" w:eastAsia="黑体" w:cs="黑体"/>
                <w:color w:val="000000"/>
                <w:kern w:val="0"/>
                <w:sz w:val="22"/>
                <w:szCs w:val="22"/>
                <w:lang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ascii="黑体" w:hAnsi="宋体" w:eastAsia="黑体" w:cs="黑体"/>
                <w:color w:val="000000"/>
                <w:kern w:val="0"/>
                <w:sz w:val="22"/>
                <w:szCs w:val="22"/>
                <w:lang w:bidi="ar"/>
              </w:rPr>
              <w:t>培训内容达到统一培训大纲要求的</w:t>
            </w:r>
            <w:bookmarkStart w:id="0" w:name="_GoBack"/>
            <w:bookmarkEnd w:id="0"/>
            <w:r>
              <w:rPr>
                <w:rFonts w:ascii="黑体" w:hAnsi="宋体" w:eastAsia="黑体" w:cs="黑体"/>
                <w:color w:val="000000"/>
                <w:kern w:val="0"/>
                <w:sz w:val="22"/>
                <w:szCs w:val="22"/>
                <w:lang w:bidi="ar"/>
              </w:rPr>
              <w:t>95%以上</w:t>
            </w:r>
            <w:r>
              <w:rPr>
                <w:rFonts w:hint="eastAsia" w:ascii="黑体" w:hAnsi="宋体" w:eastAsia="黑体" w:cs="黑体"/>
                <w:color w:val="000000"/>
                <w:kern w:val="0"/>
                <w:sz w:val="22"/>
                <w:szCs w:val="22"/>
                <w:lang w:bidi="ar"/>
              </w:rPr>
              <w:t>的；初次违法并承诺及时改正的；</w:t>
            </w:r>
            <w:r>
              <w:rPr>
                <w:rFonts w:ascii="黑体" w:hAnsi="宋体" w:eastAsia="黑体" w:cs="黑体"/>
                <w:color w:val="000000"/>
                <w:kern w:val="0"/>
                <w:sz w:val="22"/>
                <w:szCs w:val="22"/>
                <w:lang w:bidi="ar"/>
              </w:rPr>
              <w:t>没有造成危害后果</w:t>
            </w:r>
            <w:r>
              <w:rPr>
                <w:rFonts w:hint="eastAsia" w:ascii="黑体" w:hAnsi="宋体" w:eastAsia="黑体" w:cs="黑体"/>
                <w:color w:val="000000"/>
                <w:kern w:val="0"/>
                <w:sz w:val="22"/>
                <w:szCs w:val="22"/>
                <w:lang w:bidi="ar"/>
              </w:rPr>
              <w:t>的</w:t>
            </w:r>
            <w:r>
              <w:rPr>
                <w:rFonts w:ascii="黑体" w:hAnsi="宋体" w:eastAsia="黑体" w:cs="黑体"/>
                <w:color w:val="000000"/>
                <w:kern w:val="0"/>
                <w:sz w:val="22"/>
                <w:szCs w:val="22"/>
                <w:lang w:bidi="ar"/>
              </w:rPr>
              <w:t>。</w:t>
            </w:r>
          </w:p>
        </w:tc>
        <w:tc>
          <w:tcPr>
            <w:tcW w:w="185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《中华人民共和国行政处罚法》第三十三条</w:t>
            </w:r>
            <w:r>
              <w:rPr>
                <w:rFonts w:hint="eastAsia" w:ascii="黑体" w:hAnsi="宋体" w:eastAsia="黑体" w:cs="黑体"/>
                <w:color w:val="000000"/>
                <w:sz w:val="22"/>
                <w:szCs w:val="22"/>
              </w:rPr>
              <w:t>第一款、第三款</w:t>
            </w:r>
          </w:p>
        </w:tc>
        <w:tc>
          <w:tcPr>
            <w:tcW w:w="2088"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ascii="黑体" w:hAnsi="黑体" w:eastAsia="黑体" w:cs="仿宋_GB2312"/>
                <w:sz w:val="22"/>
                <w:szCs w:val="22"/>
              </w:rPr>
              <w:t>2.</w:t>
            </w:r>
            <w:r>
              <w:rPr>
                <w:rFonts w:hint="eastAsia" w:ascii="黑体" w:hAnsi="黑体" w:eastAsia="黑体" w:cs="仿宋_GB2312"/>
                <w:sz w:val="22"/>
                <w:szCs w:val="22"/>
              </w:rPr>
              <w:t>责令限期改正，并及时复查；</w:t>
            </w:r>
          </w:p>
          <w:p>
            <w:pPr>
              <w:widowControl/>
              <w:jc w:val="left"/>
              <w:textAlignment w:val="center"/>
              <w:rPr>
                <w:rFonts w:ascii="黑体" w:hAnsi="宋体" w:eastAsia="黑体" w:cs="黑体"/>
                <w:color w:val="000000"/>
                <w:kern w:val="0"/>
                <w:sz w:val="22"/>
                <w:szCs w:val="22"/>
                <w:lang w:bidi="ar"/>
              </w:rPr>
            </w:pPr>
            <w:r>
              <w:rPr>
                <w:rFonts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88" w:hRule="atLeast"/>
        </w:trPr>
        <w:tc>
          <w:tcPr>
            <w:tcW w:w="13638" w:type="dxa"/>
            <w:gridSpan w:val="6"/>
            <w:tcBorders>
              <w:top w:val="nil"/>
              <w:left w:val="nil"/>
              <w:bottom w:val="nil"/>
              <w:right w:val="nil"/>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说明：非高危生产经营单位是指除矿山、金属冶炼、建筑施工、道路运输单位和危险物品的生产、经营、储存、装卸单位以外的生产经营单位。</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0789B"/>
    <w:rsid w:val="004B6C65"/>
    <w:rsid w:val="00697464"/>
    <w:rsid w:val="00755C59"/>
    <w:rsid w:val="00B03277"/>
    <w:rsid w:val="00C15614"/>
    <w:rsid w:val="00ED38DD"/>
    <w:rsid w:val="1FFB40C5"/>
    <w:rsid w:val="2FB7437B"/>
    <w:rsid w:val="52BF4060"/>
    <w:rsid w:val="6A57EEBC"/>
    <w:rsid w:val="6B318D0A"/>
    <w:rsid w:val="6FB3435A"/>
    <w:rsid w:val="6FD0789B"/>
    <w:rsid w:val="79EB07F3"/>
    <w:rsid w:val="7FFDE9A2"/>
    <w:rsid w:val="AFB7100E"/>
    <w:rsid w:val="DA7D86BB"/>
    <w:rsid w:val="DEFC074B"/>
    <w:rsid w:val="EFF7239B"/>
    <w:rsid w:val="F7FFD38F"/>
    <w:rsid w:val="FBC9F22C"/>
    <w:rsid w:val="FF7FA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Normal Indent"/>
    <w:basedOn w:val="1"/>
    <w:qFormat/>
    <w:uiPriority w:val="0"/>
    <w:pPr>
      <w:ind w:firstLine="420" w:firstLineChars="200"/>
    </w:pPr>
    <w:rPr>
      <w:rFonts w:ascii="Calibri" w:hAnsi="Calibri" w:eastAsia="仿宋" w:cs="Times New Roman"/>
      <w:sz w:val="32"/>
    </w:rPr>
  </w:style>
  <w:style w:type="paragraph" w:styleId="5">
    <w:name w:val="annotation text"/>
    <w:basedOn w:val="1"/>
    <w:link w:val="14"/>
    <w:qFormat/>
    <w:uiPriority w:val="0"/>
    <w:pPr>
      <w:jc w:val="left"/>
    </w:pPr>
  </w:style>
  <w:style w:type="paragraph" w:styleId="6">
    <w:name w:val="annotation subject"/>
    <w:basedOn w:val="5"/>
    <w:next w:val="5"/>
    <w:link w:val="15"/>
    <w:qFormat/>
    <w:uiPriority w:val="0"/>
    <w:rPr>
      <w:b/>
      <w:bCs/>
    </w:rPr>
  </w:style>
  <w:style w:type="character" w:styleId="9">
    <w:name w:val="annotation reference"/>
    <w:basedOn w:val="8"/>
    <w:qFormat/>
    <w:uiPriority w:val="0"/>
    <w:rPr>
      <w:sz w:val="21"/>
      <w:szCs w:val="21"/>
    </w:rPr>
  </w:style>
  <w:style w:type="character" w:customStyle="1" w:styleId="10">
    <w:name w:val="font31"/>
    <w:basedOn w:val="8"/>
    <w:qFormat/>
    <w:uiPriority w:val="0"/>
    <w:rPr>
      <w:rFonts w:hint="eastAsia" w:ascii="黑体" w:hAnsi="宋体" w:eastAsia="黑体" w:cs="黑体"/>
      <w:color w:val="000000"/>
      <w:sz w:val="22"/>
      <w:szCs w:val="22"/>
      <w:u w:val="none"/>
    </w:rPr>
  </w:style>
  <w:style w:type="character" w:customStyle="1" w:styleId="11">
    <w:name w:val="font61"/>
    <w:basedOn w:val="8"/>
    <w:qFormat/>
    <w:uiPriority w:val="0"/>
    <w:rPr>
      <w:rFonts w:ascii="Arial" w:hAnsi="Arial" w:cs="Arial"/>
      <w:color w:val="000000"/>
      <w:sz w:val="22"/>
      <w:szCs w:val="22"/>
      <w:u w:val="none"/>
    </w:rPr>
  </w:style>
  <w:style w:type="character" w:customStyle="1" w:styleId="12">
    <w:name w:val="font51"/>
    <w:basedOn w:val="8"/>
    <w:qFormat/>
    <w:uiPriority w:val="0"/>
    <w:rPr>
      <w:rFonts w:hint="eastAsia" w:ascii="黑体" w:hAnsi="宋体" w:eastAsia="黑体" w:cs="黑体"/>
      <w:b/>
      <w:bCs/>
      <w:color w:val="000000"/>
      <w:sz w:val="22"/>
      <w:szCs w:val="22"/>
      <w:u w:val="none"/>
    </w:rPr>
  </w:style>
  <w:style w:type="paragraph" w:customStyle="1" w:styleId="13">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8"/>
    <w:link w:val="5"/>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1480</Words>
  <Characters>8438</Characters>
  <Lines>70</Lines>
  <Paragraphs>19</Paragraphs>
  <TotalTime>24</TotalTime>
  <ScaleCrop>false</ScaleCrop>
  <LinksUpToDate>false</LinksUpToDate>
  <CharactersWithSpaces>9899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2022-10-25T07:36:00Z</dcterms:created>
  <dc:creator>山林</dc:creator>
  <cp:lastModifiedBy>user</cp:lastModifiedBy>
  <dcterms:modified xsi:type="dcterms:W3CDTF">2022-11-23T18:43:32Z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EF2305BC3D3E4AD1B2C24D261B2D83BF</vt:lpwstr>
  </property>
</Properties>
</file>