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415" w:type="dxa"/>
        <w:tblInd w:w="96" w:type="dxa"/>
        <w:tblLayout w:type="autofit"/>
        <w:tblCellMar>
          <w:top w:w="0" w:type="dxa"/>
          <w:left w:w="108" w:type="dxa"/>
          <w:bottom w:w="0" w:type="dxa"/>
          <w:right w:w="108" w:type="dxa"/>
        </w:tblCellMar>
      </w:tblPr>
      <w:tblGrid>
        <w:gridCol w:w="693"/>
        <w:gridCol w:w="1832"/>
        <w:gridCol w:w="5168"/>
        <w:gridCol w:w="2267"/>
        <w:gridCol w:w="1619"/>
        <w:gridCol w:w="1836"/>
      </w:tblGrid>
      <w:tr>
        <w:tblPrEx>
          <w:tblCellMar>
            <w:top w:w="0" w:type="dxa"/>
            <w:left w:w="108" w:type="dxa"/>
            <w:bottom w:w="0" w:type="dxa"/>
            <w:right w:w="108" w:type="dxa"/>
          </w:tblCellMar>
        </w:tblPrEx>
        <w:trPr>
          <w:trHeight w:val="444" w:hRule="atLeast"/>
        </w:trPr>
        <w:tc>
          <w:tcPr>
            <w:tcW w:w="13415" w:type="dxa"/>
            <w:gridSpan w:val="6"/>
            <w:tcBorders>
              <w:top w:val="nil"/>
              <w:left w:val="nil"/>
              <w:bottom w:val="nil"/>
              <w:right w:val="nil"/>
            </w:tcBorders>
            <w:shd w:val="clear" w:color="auto" w:fill="auto"/>
            <w:noWrap/>
            <w:vAlign w:val="center"/>
          </w:tcPr>
          <w:p>
            <w:pPr>
              <w:widowControl/>
              <w:jc w:val="left"/>
              <w:textAlignment w:val="center"/>
              <w:rPr>
                <w:rFonts w:ascii="黑体" w:hAnsi="宋体" w:eastAsia="黑体" w:cs="黑体"/>
                <w:color w:val="000000"/>
                <w:kern w:val="0"/>
                <w:sz w:val="36"/>
                <w:szCs w:val="36"/>
                <w:lang w:bidi="ar"/>
              </w:rPr>
            </w:pPr>
            <w:r>
              <w:rPr>
                <w:rFonts w:hint="eastAsia" w:ascii="仿宋_GB2312" w:hAnsi="仿宋_GB2312" w:eastAsia="仿宋_GB2312" w:cs="仿宋_GB2312"/>
                <w:color w:val="000000"/>
                <w:kern w:val="0"/>
                <w:sz w:val="32"/>
                <w:szCs w:val="32"/>
                <w:lang w:bidi="ar"/>
              </w:rPr>
              <w:t xml:space="preserve">附件2                           </w:t>
            </w:r>
            <w:r>
              <w:rPr>
                <w:rFonts w:hint="eastAsia" w:ascii="黑体" w:hAnsi="宋体" w:eastAsia="黑体" w:cs="黑体"/>
                <w:color w:val="000000"/>
                <w:kern w:val="0"/>
                <w:sz w:val="36"/>
                <w:szCs w:val="36"/>
                <w:lang w:bidi="ar"/>
              </w:rPr>
              <w:t>从轻处罚事项清单</w:t>
            </w:r>
          </w:p>
          <w:p>
            <w:pPr>
              <w:widowControl/>
              <w:jc w:val="left"/>
              <w:textAlignment w:val="center"/>
              <w:rPr>
                <w:rFonts w:ascii="黑体" w:hAnsi="宋体" w:eastAsia="黑体" w:cs="黑体"/>
                <w:color w:val="000000"/>
                <w:kern w:val="0"/>
                <w:sz w:val="36"/>
                <w:szCs w:val="36"/>
                <w:lang w:bidi="ar"/>
              </w:rPr>
            </w:pPr>
            <w:bookmarkStart w:id="0" w:name="_GoBack"/>
            <w:bookmarkEnd w:id="0"/>
          </w:p>
        </w:tc>
      </w:tr>
      <w:tr>
        <w:tblPrEx>
          <w:tblCellMar>
            <w:top w:w="0" w:type="dxa"/>
            <w:left w:w="108" w:type="dxa"/>
            <w:bottom w:w="0" w:type="dxa"/>
            <w:right w:w="108" w:type="dxa"/>
          </w:tblCellMar>
        </w:tblPrEx>
        <w:trPr>
          <w:trHeight w:val="62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序号</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行政处罚事项</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设定法律依据</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适用情形</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从轻处罚法律依据</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kern w:val="0"/>
                <w:sz w:val="24"/>
                <w:lang w:bidi="ar"/>
              </w:rPr>
            </w:pPr>
            <w:r>
              <w:rPr>
                <w:rFonts w:hint="eastAsia" w:ascii="黑体" w:hAnsi="宋体" w:eastAsia="黑体" w:cs="黑体"/>
                <w:b/>
                <w:bCs/>
                <w:color w:val="000000"/>
                <w:kern w:val="0"/>
                <w:sz w:val="24"/>
                <w:lang w:bidi="ar"/>
              </w:rPr>
              <w:t>备注</w:t>
            </w:r>
          </w:p>
        </w:tc>
      </w:tr>
      <w:tr>
        <w:tblPrEx>
          <w:tblCellMar>
            <w:top w:w="0" w:type="dxa"/>
            <w:left w:w="108" w:type="dxa"/>
            <w:bottom w:w="0" w:type="dxa"/>
            <w:right w:w="108" w:type="dxa"/>
          </w:tblCellMar>
        </w:tblPrEx>
        <w:trPr>
          <w:trHeight w:val="343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1</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单位的决策机构、主要负责人或者个人经营的投资人不依照《中华人民共和国安全生产法》规定保证安全生产所必需的资金投入，致使生产经营单位不具备安全生产条件的，导致发生生产安全事故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有前款违法行为，导致发生生产安全事故的，对生产经营单位的主要负责人给予撤职处分，对个人经营的投资人处二万元以上二十万元以下的罚款；构成犯罪的，依照刑法有关规定追究刑事责任。</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发生生产安全事故未造成亡人事故，主动消除或者减轻违法行为危害后果的。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819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2</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对生产经营单位的主要负责人未履行《中华人民共和国安全生产法》规定的安全生产管理职责的处罚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《中华人民共和国安全生产法》第二十一条：生产经营单位的主要负责人对本单位安全生产工作负有下列职责:</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（一）建立健全并落实本单位全员安全生产责任制，加强安全生产标准化建设；</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（二）组织制定并实施本单位安全生产规章制度和操作规程；</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（三）组织制定并实施本单位安全生产教育和培训计划；</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（四）保证本单位安全生产投入的有效实施；</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（五）组织建立并落实安全风险分级管控和隐患排查治理双重预防工作机制，督促、检查本单位的安全生产工作，及时消除生产安全事故隐患；</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（六）组织制定并实施本单位的生产安全事故应急救援预案；</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（七）及时、如实报告生产安全事故。</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《中华人民共和国安全生产法》第九十五条：生产经营单位的主要负责人未履行本法规定的安全生产管理职责，导致发生生产安全事故的，由应急管理部门依照下列规定处以罚款:</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（一）发生一般事故的，处上一年年收入百分之四十的罚款；</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（二）发生较大事故的，处上一年年收入百分之六十的罚款；</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（三）发生重大事故的，处上一年年收入百分之八十的罚款；</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（四）发生特别重大事故的，处上一年年收入百分之一百的罚款。</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有三项以下职责未履行，主动消除或者减轻违法行为危害后果的。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686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3</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对生产经营单位的其他负责人和安全生产管理人员未履行《中华人民共和国安全生产法》规定的安全生产管理职责的处罚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黑体" w:hAnsi="黑体" w:eastAsia="黑体" w:cs="黑体"/>
                <w:color w:val="000000"/>
                <w:kern w:val="0"/>
                <w:sz w:val="22"/>
                <w:szCs w:val="22"/>
                <w:lang w:bidi="ar"/>
              </w:rPr>
            </w:pPr>
            <w:r>
              <w:rPr>
                <w:rFonts w:hint="eastAsia" w:ascii="黑体" w:hAnsi="黑体" w:eastAsia="黑体" w:cs="黑体"/>
                <w:color w:val="000000"/>
                <w:kern w:val="0"/>
                <w:szCs w:val="21"/>
                <w:lang w:bidi="ar"/>
              </w:rPr>
              <w:t>《中华人民共和国安全生产法》第二十五条：生产经营单位的安全生产管理机构以及安全生产管理人员履行下列职责:</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（一）组织或者参与拟订本单位安全生产规章制度、操作规程和生产安全事故应急救援预案；</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（二）组织或者参与本单位安全生产教育和培训，如实记录安全生产教育和培训情况；</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（三）组织开展危险源辨识和评估，督促落实本单位重大危险源的安全管理措施；</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（四）组织或者参与本单位应急救援演练；</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（五）检查本单位的安全生产状况，及时排查生产安全事故隐患，提出改进安全生产管理的建议；</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（六）制止和纠正违章指挥、强令冒险作业、违反操作规程的行为；</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（七）督促落实本单位安全生产整改措施。</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生产经营单位可以设置专职安全生产分管负责人，协助本单位主要负责人履行安全生产管理职责。</w:t>
            </w:r>
            <w:r>
              <w:rPr>
                <w:rFonts w:hint="eastAsia" w:ascii="黑体" w:hAnsi="黑体" w:eastAsia="黑体" w:cs="黑体"/>
                <w:color w:val="000000"/>
                <w:kern w:val="0"/>
                <w:szCs w:val="21"/>
                <w:lang w:bidi="ar"/>
              </w:rPr>
              <w:br w:type="textWrapping"/>
            </w:r>
            <w:r>
              <w:rPr>
                <w:rFonts w:hint="eastAsia" w:ascii="黑体" w:hAnsi="黑体" w:eastAsia="黑体" w:cs="黑体"/>
                <w:color w:val="000000"/>
                <w:kern w:val="0"/>
                <w:szCs w:val="21"/>
                <w:lang w:bidi="ar"/>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有三项以下职责未履行，主动消除或者减轻违法行为危害后果的。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49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4</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对生产经营单位未按照规定设置安全生产管理机构或者配备安全生产管理人员、注册安全工程师的处罚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九十七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r>
              <w:rPr>
                <w:rFonts w:hint="eastAsia" w:ascii="黑体" w:hAnsi="黑体" w:eastAsia="黑体" w:cs="黑体"/>
                <w:color w:val="000000"/>
                <w:kern w:val="0"/>
                <w:sz w:val="22"/>
                <w:szCs w:val="22"/>
                <w:lang w:bidi="ar"/>
              </w:rPr>
              <w:br w:type="textWrapping"/>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三年内未发生安全生产责任事故，主动消除违法行为危害后果，且在限期内改正的。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56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对未按照规定对从业人员、被派遣劳动者、实习学生进行安全生产教育和培训，或者未按照规定如实告知有关的安全生产事项的处罚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九十七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云南省安全生产条例》第五十二条第一款：生产经营单位违反本条例第十五条、第十八条、第二十二条规定的，责令限期改正，可以处1万元以上5万元以下的罚款；逾期未改正的，责令停产停业整顿，并处5万元以上10万元以下的罚款，对其直接负责的主管人员和其他直接责任人员处1万元以上2万元以下的罚款。</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未按照规定进行安全生产教育和培训或者未按照规定如实告知有关的安全生产事项的从业人员、被派遣劳动者、实习学生在4人以下，主动消除违法行为的。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187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6</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对生产经营单位未如实记录安全生产教育和培训情况的处罚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 xml:space="preserve">《中华人民共和国安全生产法》第九十七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           </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三年内未发生安全生产责任事故，主动消除违法行为危害后果，且在限期内改正的。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1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7</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对生产经营单位未按照规定制定生产安全事故应急救援预案或者未定期组织演练的处罚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九十七条第六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三年内未发生安全生产责任事故，主动消除违法行为危害后果，且在限期内改正的。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70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8</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对特种作业人员未按照规定经专门的安全作业培训并取得相应资格，上岗作业的处罚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九十七条第七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有3人以下特种作业人员未按照规定经专门的安全作业培训并取得相应资格，上岗作业，主动消除违法行为的。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31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9</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对未按照规定对矿山、金属冶炼建设项目或者用于生产、储存、装卸危险物品的建设项目进行安全评价的处罚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九十八条第一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三年内未发生安全生产责任事故，主动消除违法行为后果，且在限期内改正的。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1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1</w:t>
            </w:r>
            <w:r>
              <w:rPr>
                <w:rFonts w:hint="default" w:ascii="黑体" w:hAnsi="黑体" w:eastAsia="黑体" w:cs="黑体"/>
                <w:color w:val="000000"/>
                <w:kern w:val="0"/>
                <w:sz w:val="22"/>
                <w:szCs w:val="22"/>
                <w:lang w:bidi="ar"/>
              </w:rPr>
              <w:t>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对未对安全设备进行经常性维护、保养和定期检测的处罚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九十九条第三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三年内未发生安全生产责任事故，主动消除违法行为后果，且在限期内改正的。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49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11</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对关闭、破坏直接关系生产安全的监控、报警、防护、救生设备、设施，或者篡改、隐瞒、销毁其相关数据、信息的处罚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九十九条第四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从业人员在50人以下的非高危生产经营单位关闭、破坏，主动消除违法行为的。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49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12</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对未为从业人员提供符合国家标准或者行业标准的劳动防护用品的处罚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九十九条第五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三年内未发生安全生产责任事故，主动消除违法行为后果，且在限期内改正的。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31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13</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对危险物品的容器、运输工具，以及涉及人身安全、危险性较大的海洋石油开采特种设备和矿山井下特种设备未经具有专业资质的机构检测、检验合格，取得安全使用证或者安全标志，投入使用的处罚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九十九条第六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危险物品的容器、运输工具，以及涉及人身安全、危险性较大的海洋石油开采特种设备和矿山井下特种设备未经具有专业资质的机构检测、检验合格，取得安全使用证或者安全标志，投入使用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投入使用的期限在三个月以下，主动消除违法行为的。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1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14</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对使用应当淘汰的危及生产安全的工艺、设备的处罚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九十九条第七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使用1种（台、套）应当淘汰的危及生产安全的工艺或者设备，主动消除违法行为的。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9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15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对餐饮等行业的生产经营单位使用燃气未安装可燃气体报警装置的处罚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九十九条第八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八）餐饮等行业的生产经营单位使用燃气未安装可燃气体报警装置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使用燃气未安装可燃气体报警装置在三个月以下，主动消除违法行为的。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80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16</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对生产、经营、运输、储存、使用危险物品或者处置废弃危险物品，未建立专门安全管理制度、未采取可靠的安全措施的处罚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一条第一项：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　</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三年内未发生安全生产责任事故，主动消除违法行为后果，且在限期内改正的。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49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17</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对重大危险源未登记建档，未进行定期检测、评估、监控，未制定应急预案，或者未告知应急措施的处罚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一条第二项：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重大危险源有未登记建档，或者未进行评估、监控，或者未制定应急预案三种情形之一，主动消除违法行为的。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80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18</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对进行爆破、吊装、动火、临时用电以及国务院应急管理部门会同国务院有关部门规定的其他危险作业，未安排专门人员进行现场安全管理的处罚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一条第三项：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危险作业时，落实安全措施不完善，主动消除违法行为的。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49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19</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对生产经营单位未建立安全风险分级管控制度或者未按照安全风险分级采取相应管控措施的处罚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一条第四项：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三年内未发生安全生产责任事故，主动消除违法行为后果，且在限期内改正的。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49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20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对未建立事故隐患排查治理制度，或者重大事故隐患排查治理情况未按照规定报告的处罚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一条第五项：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从业人员在100人以下的非高危生产经营单位或从业人员在50人以下的高危生产经营单位，未建立事故隐患排查治理制度，主动消除违法行为的。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60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21</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对生产经营单位未采取措施消除事故隐患的处罚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未消除事故隐患有3项以下（重大事故隐患除外），主动消除违法行为的。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80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22</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对生产经营单位将生产经营项目、场所、设备发包或者出租给不具备安全生产条件或者相应资质的单位或者个人的处罚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没有违法所得或违法所得在5万元以下，主动消除违法行为的。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6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2</w:t>
            </w:r>
            <w:r>
              <w:rPr>
                <w:rFonts w:hint="eastAsia" w:ascii="黑体" w:hAnsi="黑体" w:eastAsia="黑体" w:cs="黑体"/>
                <w:color w:val="000000"/>
                <w:kern w:val="0"/>
                <w:sz w:val="22"/>
                <w:szCs w:val="22"/>
                <w:lang w:bidi="ar"/>
              </w:rPr>
              <w:t>3</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三年内未发生安全生产责任事故，主动消除违法行为后果，且在限期内改正的。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374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24</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对矿山、金属冶炼建设项目和用于生产、储存、装卸危险物品的建设项目的施工单位未按照规定对施工项目进行安全管理和施工单位倒卖、出租、出借、挂靠或者以其他形式非法转让施工资质的的处罚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建设项目投资额在500万元以下、或违法所得在5万元以下，主动消除违法行为的。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99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2</w:t>
            </w:r>
            <w:r>
              <w:rPr>
                <w:rFonts w:hint="eastAsia" w:ascii="黑体" w:hAnsi="黑体" w:eastAsia="黑体" w:cs="黑体"/>
                <w:color w:val="000000"/>
                <w:kern w:val="0"/>
                <w:sz w:val="22"/>
                <w:szCs w:val="22"/>
                <w:lang w:bidi="ar"/>
              </w:rPr>
              <w:t>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对两个以上生产经营单位在同一作业区域内进行可能危及对方安全生产的生产经营活动，未签订安全生产管理协议或者未指定专职安全生产管理人员进行安全检查与协调的处罚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三年内未发生安全生产责任事故，主动消除违法行为后果，且在限期内改正的。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1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26</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对生产、经营、储存、使用危险物品的车间、商店、仓库与员工宿舍在同一座建筑内，或者与员工宿舍的距离不符合安全要求的处罚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五条第一项：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三年内未发生安全生产责任事故，主动消除违法行为后果，且在限期内改正的。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49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27</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对生产经营场所和员工宿舍未设有符合紧急疏散需要、标志明显、保持畅通的出口、疏散通道，或者占用、锁闭、封堵生产经营场所或者员工宿舍出口、疏散通道的处罚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五条第二项：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（二）生产经营场所和员工宿舍未设有符合紧急疏散需要、标志明显、保持畅通的出口、疏散通道，或者占用、锁闭、封堵生产经营场所或者员工宿舍出口、疏散通道的。</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有未设有符合紧急疏散需要、标志明显、保持畅通的出口、疏散通道三种情形之一的，或者占用生产经营场所或者员工宿舍出口、疏散通道，主动消除违法行为的。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87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28</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对生产经营单位拒绝、阻碍负有安全生产监督管理职责的部门依法实施监督检查的处罚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八条规定：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采用逃避、躲避方式的，经多次教育说服后主动配合，减轻违法行为危害后果的。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195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29</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对高危行业、领域的生产经营单位未按照国家规定投保安全生产责任保险的处罚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单位从业人员在30人以下，主动消除违法行为的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9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30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对生产经营单位的主要负责人在本单位发生生产安全事故时,不立即组织抢救或者在事故调查处理期间擅离职守或者逃匿的、对该事故隐瞒不报、谎报或者迟报的处罚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r>
              <w:rPr>
                <w:rFonts w:hint="eastAsia" w:ascii="黑体" w:hAnsi="黑体" w:eastAsia="黑体" w:cs="黑体"/>
                <w:color w:val="000000"/>
                <w:kern w:val="0"/>
                <w:sz w:val="22"/>
                <w:szCs w:val="22"/>
                <w:lang w:bidi="ar"/>
              </w:rPr>
              <w:br w:type="textWrapping"/>
            </w:r>
            <w:r>
              <w:rPr>
                <w:rFonts w:hint="eastAsia" w:ascii="黑体" w:hAnsi="黑体" w:eastAsia="黑体" w:cs="黑体"/>
                <w:color w:val="000000"/>
                <w:kern w:val="0"/>
                <w:sz w:val="22"/>
                <w:szCs w:val="22"/>
                <w:lang w:bidi="ar"/>
              </w:rPr>
              <w:t>生产经营单位的主要负责人对生产安全事故隐瞒不报、谎报或者迟报的，依照前款规定处罚。</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发生生产安全事故未造成人员死亡，主动消除或者减轻违法行为危害后果的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29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31</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对发生一般事故负有责任的单位的处罚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一十四条第一款第（一）项：发生生产安全事故，对负有责任的生产经营单位除要求其依法承担相应的赔偿等责任外，由应急管理部门依照下列规定处以罚款:（一）发生一般事故的，处三十万元以上一百万元以下的罚款。</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造成1人死亡，或者造成5人以下重伤，或者200万元以下直接经济损失，主动减轻违法行为危害后果的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70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32</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对发生较大事故负有责任的单位的处罚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一十四条第一款第（二）项：发生生产安全事故，对负有责任的生产经营单位除要求其依法承担相应的赔偿等责任外，由应急管理部门依照下列规定处以罚款:（二）发生较大事故的，处一百万元以上二百万元以下的罚款。</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造成3人以上5人以下死亡，或者造成10以上15人以下重伤，或者1000万以上2000万元以下直接经济损失，主动减轻违法行为危害后果的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99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33</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对发生重大事故负有责任的单位的处罚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一十四条第一款第（三）项：发生生产安全事故，对负有责任的生产经营单位除要求其依法承担相应的赔偿等责任外，由应急管理部门依照下列规定处以罚款:（三）发生重大事故的，处二百万元以上一千万元以下的罚款。</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造成10人以上15人以下死亡，或者造成50人以上60人以下重伤，或者5000万元以上6000万以下直接经济损失，主动减轻违法行为危害后果的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r>
        <w:tblPrEx>
          <w:tblCellMar>
            <w:top w:w="0" w:type="dxa"/>
            <w:left w:w="108" w:type="dxa"/>
            <w:bottom w:w="0" w:type="dxa"/>
            <w:right w:w="108" w:type="dxa"/>
          </w:tblCellMar>
        </w:tblPrEx>
        <w:trPr>
          <w:trHeight w:val="284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黑体" w:hAnsi="黑体" w:eastAsia="黑体" w:cs="黑体"/>
                <w:color w:val="000000"/>
                <w:kern w:val="0"/>
                <w:sz w:val="22"/>
                <w:szCs w:val="22"/>
                <w:lang w:bidi="ar"/>
              </w:rPr>
            </w:pPr>
            <w:r>
              <w:rPr>
                <w:rFonts w:hint="default" w:ascii="黑体" w:hAnsi="黑体" w:eastAsia="黑体" w:cs="黑体"/>
                <w:color w:val="000000"/>
                <w:kern w:val="0"/>
                <w:sz w:val="22"/>
                <w:szCs w:val="22"/>
                <w:lang w:bidi="ar"/>
              </w:rPr>
              <w:t>34</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对发生特别重大事故负有责任的单位的处罚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安全生产法》第一百一十四条第一款第（四）项：发生生产安全事故，对负有责任的生产经营单位除要求其依法承担相应的赔偿等责任外，由应急管理部门依照下列规定处以罚款:（四）发生特别重大事故的，处一千万元以上二千万元以下的罚款。</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造成30人以上35人以下死亡，或者造成100以上110人以下重伤，或者1亿以上1.5亿元以下直接经济损失，主动减轻违法行为危害后果的。</w:t>
            </w:r>
          </w:p>
        </w:tc>
        <w:tc>
          <w:tcPr>
            <w:tcW w:w="16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《中华人民共和国行政处罚法》第三十二条第（一）项</w:t>
            </w:r>
          </w:p>
        </w:tc>
        <w:tc>
          <w:tcPr>
            <w:tcW w:w="1836"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260" w:lineRule="exact"/>
              <w:rPr>
                <w:rFonts w:ascii="黑体" w:hAnsi="黑体" w:eastAsia="黑体" w:cs="仿宋_GB2312"/>
                <w:sz w:val="22"/>
                <w:szCs w:val="22"/>
              </w:rPr>
            </w:pPr>
            <w:r>
              <w:rPr>
                <w:rFonts w:hint="eastAsia" w:ascii="黑体" w:hAnsi="黑体" w:eastAsia="黑体" w:cs="仿宋_GB2312"/>
                <w:sz w:val="22"/>
                <w:szCs w:val="22"/>
              </w:rPr>
              <w:t>1.对当事人给予教育；</w:t>
            </w:r>
          </w:p>
          <w:p>
            <w:pPr>
              <w:spacing w:line="260" w:lineRule="exact"/>
              <w:rPr>
                <w:rFonts w:ascii="黑体" w:hAnsi="黑体" w:eastAsia="黑体" w:cs="仿宋_GB2312"/>
                <w:sz w:val="22"/>
                <w:szCs w:val="22"/>
              </w:rPr>
            </w:pPr>
            <w:r>
              <w:rPr>
                <w:rFonts w:hint="eastAsia" w:ascii="黑体" w:hAnsi="黑体" w:eastAsia="黑体" w:cs="仿宋_GB2312"/>
                <w:sz w:val="22"/>
                <w:szCs w:val="22"/>
              </w:rPr>
              <w:t>2.责令限期改正，并及时复查；</w:t>
            </w:r>
          </w:p>
          <w:p>
            <w:pPr>
              <w:widowControl/>
              <w:jc w:val="left"/>
              <w:textAlignment w:val="center"/>
              <w:rPr>
                <w:rFonts w:ascii="黑体" w:hAnsi="黑体" w:eastAsia="黑体" w:cs="黑体"/>
                <w:color w:val="000000"/>
                <w:kern w:val="0"/>
                <w:sz w:val="22"/>
                <w:szCs w:val="22"/>
                <w:lang w:bidi="ar"/>
              </w:rPr>
            </w:pPr>
            <w:r>
              <w:rPr>
                <w:rFonts w:hint="eastAsia" w:ascii="黑体" w:hAnsi="黑体" w:eastAsia="黑体" w:cs="仿宋_GB2312"/>
                <w:sz w:val="22"/>
                <w:szCs w:val="22"/>
              </w:rPr>
              <w:t>3.加强日常监督管理。</w:t>
            </w:r>
          </w:p>
        </w:tc>
      </w:tr>
    </w:tbl>
    <w:p>
      <w:pPr>
        <w:rPr>
          <w:rFonts w:hint="eastAsia"/>
        </w:rPr>
      </w:pPr>
    </w:p>
    <w:sectPr>
      <w:pgSz w:w="16838" w:h="11906" w:orient="landscape"/>
      <w:pgMar w:top="2200" w:right="1440" w:bottom="203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50195"/>
    <w:rsid w:val="002F6C1B"/>
    <w:rsid w:val="00356D28"/>
    <w:rsid w:val="00662028"/>
    <w:rsid w:val="009348AF"/>
    <w:rsid w:val="00B14D81"/>
    <w:rsid w:val="00C464A8"/>
    <w:rsid w:val="00DC18A5"/>
    <w:rsid w:val="00F017D5"/>
    <w:rsid w:val="0AF71779"/>
    <w:rsid w:val="2BC646B1"/>
    <w:rsid w:val="3F87FF63"/>
    <w:rsid w:val="59EA5282"/>
    <w:rsid w:val="6D2F9D85"/>
    <w:rsid w:val="6EFF492E"/>
    <w:rsid w:val="6FF326D0"/>
    <w:rsid w:val="72F7A651"/>
    <w:rsid w:val="7A7774DF"/>
    <w:rsid w:val="7B77693E"/>
    <w:rsid w:val="7DF50195"/>
    <w:rsid w:val="7EFF952D"/>
    <w:rsid w:val="7FFD4576"/>
    <w:rsid w:val="9FD13D60"/>
    <w:rsid w:val="B5FF6E45"/>
    <w:rsid w:val="BEFF5D02"/>
    <w:rsid w:val="BFD62FBF"/>
    <w:rsid w:val="D37F6633"/>
    <w:rsid w:val="F6FED695"/>
    <w:rsid w:val="F7FF81C5"/>
    <w:rsid w:val="FEDF00C4"/>
    <w:rsid w:val="FF7BB8A7"/>
    <w:rsid w:val="FFABE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rFonts w:ascii="Times New Roman" w:hAnsi="Times New Roman"/>
    </w:rPr>
  </w:style>
  <w:style w:type="paragraph" w:styleId="3">
    <w:name w:val="Body Text Indent"/>
    <w:basedOn w:val="1"/>
    <w:next w:val="4"/>
    <w:qFormat/>
    <w:uiPriority w:val="0"/>
    <w:pPr>
      <w:spacing w:after="120" w:line="240" w:lineRule="atLeast"/>
      <w:ind w:left="420" w:leftChars="200"/>
    </w:pPr>
    <w:rPr>
      <w:rFonts w:ascii="Calibri" w:hAnsi="Calibri" w:eastAsia="宋体" w:cs="Times New Roman"/>
      <w:spacing w:val="-6"/>
      <w:szCs w:val="20"/>
    </w:rPr>
  </w:style>
  <w:style w:type="paragraph" w:styleId="4">
    <w:name w:val="Normal Indent"/>
    <w:basedOn w:val="1"/>
    <w:qFormat/>
    <w:uiPriority w:val="0"/>
    <w:pPr>
      <w:spacing w:line="240" w:lineRule="atLeast"/>
      <w:ind w:firstLine="420" w:firstLineChars="200"/>
    </w:pPr>
    <w:rPr>
      <w:rFonts w:ascii="Calibri" w:hAnsi="Calibri" w:eastAsia="仿宋" w:cs="Times New Roman"/>
      <w:spacing w:val="-6"/>
      <w:sz w:val="32"/>
      <w:szCs w:val="20"/>
    </w:rPr>
  </w:style>
  <w:style w:type="paragraph" w:styleId="5">
    <w:name w:val="annotation text"/>
    <w:basedOn w:val="1"/>
    <w:link w:val="12"/>
    <w:qFormat/>
    <w:uiPriority w:val="0"/>
    <w:pPr>
      <w:jc w:val="left"/>
    </w:pPr>
  </w:style>
  <w:style w:type="paragraph" w:styleId="6">
    <w:name w:val="annotation subject"/>
    <w:basedOn w:val="5"/>
    <w:next w:val="5"/>
    <w:link w:val="1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文字 字符"/>
    <w:basedOn w:val="9"/>
    <w:link w:val="5"/>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2424</Words>
  <Characters>13823</Characters>
  <Lines>115</Lines>
  <Paragraphs>32</Paragraphs>
  <TotalTime>39</TotalTime>
  <ScaleCrop>false</ScaleCrop>
  <LinksUpToDate>false</LinksUpToDate>
  <CharactersWithSpaces>16215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2022-10-25T08:26:00Z</dcterms:created>
  <dc:creator>山林</dc:creator>
  <cp:lastModifiedBy>user</cp:lastModifiedBy>
  <dcterms:modified xsi:type="dcterms:W3CDTF">2022-11-17T17:34:24Z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3F52BBD4FE124130B0AF4E1C807CBCCA</vt:lpwstr>
  </property>
</Properties>
</file>